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6968" w14:textId="655EBDCF" w:rsidR="00D36D3E" w:rsidRPr="00D24079" w:rsidRDefault="00D36D3E" w:rsidP="00D36D3E">
      <w:pPr>
        <w:rPr>
          <w:rFonts w:ascii="Times New Roman" w:eastAsia="Times New Roman" w:hAnsi="Times New Roman" w:cs="Times New Roman"/>
          <w:b/>
          <w:shd w:val="clear" w:color="auto" w:fill="FFFFFF"/>
        </w:rPr>
      </w:pPr>
      <w:r w:rsidRPr="00D24079">
        <w:rPr>
          <w:rFonts w:ascii="Times New Roman" w:eastAsia="Times New Roman" w:hAnsi="Times New Roman" w:cs="Times New Roman"/>
          <w:b/>
          <w:shd w:val="clear" w:color="auto" w:fill="FFFFFF"/>
        </w:rPr>
        <w:t>Is a living wage feasible in Tompkins County?</w:t>
      </w:r>
    </w:p>
    <w:p w14:paraId="6E4CE2A3" w14:textId="1EF9E4CF" w:rsidR="00D36D3E" w:rsidRPr="00D24079" w:rsidRDefault="00D36D3E" w:rsidP="00D36D3E">
      <w:pPr>
        <w:rPr>
          <w:rFonts w:ascii="Times New Roman" w:eastAsia="Times New Roman" w:hAnsi="Times New Roman" w:cs="Times New Roman"/>
          <w:shd w:val="clear" w:color="auto" w:fill="FFFFFF"/>
        </w:rPr>
      </w:pPr>
    </w:p>
    <w:p w14:paraId="2D480554" w14:textId="410AAAA1" w:rsidR="00D24079" w:rsidRDefault="00D24079" w:rsidP="00D36D3E">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Reed Eaglesham, </w:t>
      </w:r>
      <w:r w:rsidR="00133955" w:rsidRPr="00D24079">
        <w:rPr>
          <w:rFonts w:ascii="Times New Roman" w:eastAsia="Times New Roman" w:hAnsi="Times New Roman" w:cs="Times New Roman"/>
          <w:shd w:val="clear" w:color="auto" w:fill="FFFFFF"/>
        </w:rPr>
        <w:t>Ian Greer</w:t>
      </w:r>
      <w:r>
        <w:rPr>
          <w:rFonts w:ascii="Times New Roman" w:eastAsia="Times New Roman" w:hAnsi="Times New Roman" w:cs="Times New Roman"/>
          <w:shd w:val="clear" w:color="auto" w:fill="FFFFFF"/>
        </w:rPr>
        <w:t>,</w:t>
      </w:r>
      <w:r w:rsidR="00133955" w:rsidRPr="00D24079">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Sean O’Brady, </w:t>
      </w:r>
      <w:r w:rsidR="00133955" w:rsidRPr="00D24079">
        <w:rPr>
          <w:rFonts w:ascii="Times New Roman" w:eastAsia="Times New Roman" w:hAnsi="Times New Roman" w:cs="Times New Roman"/>
          <w:shd w:val="clear" w:color="auto" w:fill="FFFFFF"/>
        </w:rPr>
        <w:t>Shaianne Osterreich</w:t>
      </w:r>
      <w:r>
        <w:rPr>
          <w:rFonts w:ascii="Times New Roman" w:eastAsia="Times New Roman" w:hAnsi="Times New Roman" w:cs="Times New Roman"/>
          <w:shd w:val="clear" w:color="auto" w:fill="FFFFFF"/>
        </w:rPr>
        <w:t xml:space="preserve">, </w:t>
      </w:r>
      <w:r w:rsidR="00782D32">
        <w:rPr>
          <w:rFonts w:ascii="Times New Roman" w:eastAsia="Times New Roman" w:hAnsi="Times New Roman" w:cs="Times New Roman"/>
          <w:shd w:val="clear" w:color="auto" w:fill="FFFFFF"/>
        </w:rPr>
        <w:t xml:space="preserve">Maru Rodriguez, </w:t>
      </w:r>
      <w:r>
        <w:rPr>
          <w:rFonts w:ascii="Times New Roman" w:eastAsia="Times New Roman" w:hAnsi="Times New Roman" w:cs="Times New Roman"/>
          <w:shd w:val="clear" w:color="auto" w:fill="FFFFFF"/>
        </w:rPr>
        <w:t>and Russell Weaver</w:t>
      </w:r>
    </w:p>
    <w:p w14:paraId="2AE23803" w14:textId="77777777" w:rsidR="00D24079" w:rsidRDefault="00D24079" w:rsidP="00D36D3E">
      <w:pPr>
        <w:rPr>
          <w:rFonts w:ascii="Times New Roman" w:eastAsia="Times New Roman" w:hAnsi="Times New Roman" w:cs="Times New Roman"/>
          <w:shd w:val="clear" w:color="auto" w:fill="FFFFFF"/>
        </w:rPr>
      </w:pPr>
    </w:p>
    <w:p w14:paraId="73CB9D4E" w14:textId="70BB5331" w:rsidR="00133955" w:rsidRDefault="003B591D" w:rsidP="00D36D3E">
      <w:pPr>
        <w:rPr>
          <w:rFonts w:ascii="Times New Roman" w:eastAsia="Times New Roman" w:hAnsi="Times New Roman" w:cs="Times New Roman"/>
          <w:shd w:val="clear" w:color="auto" w:fill="FFFFFF"/>
        </w:rPr>
      </w:pPr>
      <w:r w:rsidRPr="00D24079">
        <w:rPr>
          <w:rFonts w:ascii="Times New Roman" w:eastAsia="Times New Roman" w:hAnsi="Times New Roman" w:cs="Times New Roman"/>
          <w:shd w:val="clear" w:color="auto" w:fill="FFFFFF"/>
        </w:rPr>
        <w:t>August 2022</w:t>
      </w:r>
    </w:p>
    <w:p w14:paraId="5D73751C" w14:textId="77777777" w:rsidR="00BA17BD" w:rsidRPr="00D24079" w:rsidRDefault="00BA17BD" w:rsidP="00D36D3E">
      <w:pPr>
        <w:rPr>
          <w:rFonts w:ascii="Times New Roman" w:eastAsia="Times New Roman" w:hAnsi="Times New Roman" w:cs="Times New Roman"/>
          <w:shd w:val="clear" w:color="auto" w:fill="FFFFFF"/>
        </w:rPr>
      </w:pPr>
    </w:p>
    <w:p w14:paraId="32F173A4" w14:textId="19C89ED8" w:rsidR="00D36D3E" w:rsidRPr="00D24079" w:rsidRDefault="00BA1CA8" w:rsidP="00D36D3E">
      <w:pPr>
        <w:rPr>
          <w:rFonts w:ascii="Times New Roman" w:eastAsia="Times New Roman" w:hAnsi="Times New Roman" w:cs="Times New Roman"/>
          <w:shd w:val="clear" w:color="auto" w:fill="FFFFFF"/>
        </w:rPr>
      </w:pPr>
      <w:r w:rsidRPr="00D24079">
        <w:rPr>
          <w:rFonts w:ascii="Times New Roman" w:eastAsia="Times New Roman" w:hAnsi="Times New Roman" w:cs="Times New Roman"/>
          <w:shd w:val="clear" w:color="auto" w:fill="FFFFFF"/>
        </w:rPr>
        <w:t>Below</w:t>
      </w:r>
      <w:r w:rsidR="00D36D3E" w:rsidRPr="00D24079">
        <w:rPr>
          <w:rFonts w:ascii="Times New Roman" w:eastAsia="Times New Roman" w:hAnsi="Times New Roman" w:cs="Times New Roman"/>
          <w:shd w:val="clear" w:color="auto" w:fill="FFFFFF"/>
        </w:rPr>
        <w:t xml:space="preserve"> we </w:t>
      </w:r>
      <w:r w:rsidRPr="00D24079">
        <w:rPr>
          <w:rFonts w:ascii="Times New Roman" w:eastAsia="Times New Roman" w:hAnsi="Times New Roman" w:cs="Times New Roman"/>
          <w:shd w:val="clear" w:color="auto" w:fill="FFFFFF"/>
        </w:rPr>
        <w:t>describe our research, summarize our results,</w:t>
      </w:r>
      <w:r w:rsidR="00D36D3E" w:rsidRPr="00D24079">
        <w:rPr>
          <w:rFonts w:ascii="Times New Roman" w:eastAsia="Times New Roman" w:hAnsi="Times New Roman" w:cs="Times New Roman"/>
          <w:shd w:val="clear" w:color="auto" w:fill="FFFFFF"/>
        </w:rPr>
        <w:t xml:space="preserve"> and raise what we expect to be the critical questions </w:t>
      </w:r>
      <w:r w:rsidRPr="00D24079">
        <w:rPr>
          <w:rFonts w:ascii="Times New Roman" w:eastAsia="Times New Roman" w:hAnsi="Times New Roman" w:cs="Times New Roman"/>
          <w:shd w:val="clear" w:color="auto" w:fill="FFFFFF"/>
        </w:rPr>
        <w:t>of</w:t>
      </w:r>
      <w:r w:rsidR="00D36D3E" w:rsidRPr="00D24079">
        <w:rPr>
          <w:rFonts w:ascii="Times New Roman" w:eastAsia="Times New Roman" w:hAnsi="Times New Roman" w:cs="Times New Roman"/>
          <w:shd w:val="clear" w:color="auto" w:fill="FFFFFF"/>
        </w:rPr>
        <w:t xml:space="preserve"> any discussion of bringing the minimum wage up to the living wage. </w:t>
      </w:r>
    </w:p>
    <w:p w14:paraId="4A176270" w14:textId="7E284D3B" w:rsidR="00215C46" w:rsidRPr="00D24079" w:rsidRDefault="00215C46" w:rsidP="00D36D3E">
      <w:pPr>
        <w:rPr>
          <w:rFonts w:ascii="Times New Roman" w:eastAsia="Times New Roman" w:hAnsi="Times New Roman" w:cs="Times New Roman"/>
          <w:shd w:val="clear" w:color="auto" w:fill="FFFFFF"/>
        </w:rPr>
      </w:pPr>
    </w:p>
    <w:p w14:paraId="4F5B6FF4" w14:textId="67D7CAD8" w:rsidR="00E82CD8" w:rsidRPr="00D24079" w:rsidRDefault="0056408D" w:rsidP="00D36D3E">
      <w:pPr>
        <w:rPr>
          <w:rFonts w:ascii="Times New Roman" w:eastAsia="Times New Roman" w:hAnsi="Times New Roman" w:cs="Times New Roman"/>
          <w:shd w:val="clear" w:color="auto" w:fill="FFFFFF"/>
        </w:rPr>
      </w:pPr>
      <w:r w:rsidRPr="00D24079">
        <w:rPr>
          <w:rFonts w:ascii="Times New Roman" w:eastAsia="Times New Roman" w:hAnsi="Times New Roman" w:cs="Times New Roman"/>
          <w:shd w:val="clear" w:color="auto" w:fill="FFFFFF"/>
        </w:rPr>
        <w:t xml:space="preserve">Our research </w:t>
      </w:r>
      <w:r w:rsidR="00655198" w:rsidRPr="00D24079">
        <w:rPr>
          <w:rFonts w:ascii="Times New Roman" w:eastAsia="Times New Roman" w:hAnsi="Times New Roman" w:cs="Times New Roman"/>
          <w:shd w:val="clear" w:color="auto" w:fill="FFFFFF"/>
        </w:rPr>
        <w:t>took place</w:t>
      </w:r>
      <w:r w:rsidRPr="00D24079">
        <w:rPr>
          <w:rFonts w:ascii="Times New Roman" w:eastAsia="Times New Roman" w:hAnsi="Times New Roman" w:cs="Times New Roman"/>
          <w:shd w:val="clear" w:color="auto" w:fill="FFFFFF"/>
        </w:rPr>
        <w:t xml:space="preserve"> in response to </w:t>
      </w:r>
      <w:r w:rsidR="00655198" w:rsidRPr="00D24079">
        <w:rPr>
          <w:rFonts w:ascii="Times New Roman" w:eastAsia="Times New Roman" w:hAnsi="Times New Roman" w:cs="Times New Roman"/>
          <w:shd w:val="clear" w:color="auto" w:fill="FFFFFF"/>
        </w:rPr>
        <w:t xml:space="preserve">the </w:t>
      </w:r>
      <w:r w:rsidRPr="00D24079">
        <w:rPr>
          <w:rFonts w:ascii="Times New Roman" w:eastAsia="Times New Roman" w:hAnsi="Times New Roman" w:cs="Times New Roman"/>
          <w:shd w:val="clear" w:color="auto" w:fill="FFFFFF"/>
        </w:rPr>
        <w:t>widespread concern that wages were not keeping up with the cost of living. In u</w:t>
      </w:r>
      <w:r w:rsidR="00215C46" w:rsidRPr="00D24079">
        <w:rPr>
          <w:rFonts w:ascii="Times New Roman" w:eastAsia="Times New Roman" w:hAnsi="Times New Roman" w:cs="Times New Roman"/>
          <w:shd w:val="clear" w:color="auto" w:fill="FFFFFF"/>
        </w:rPr>
        <w:t xml:space="preserve">pstate New York, minimum wages rose </w:t>
      </w:r>
      <w:r w:rsidR="00717CFC" w:rsidRPr="00D24079">
        <w:rPr>
          <w:rFonts w:ascii="Times New Roman" w:eastAsia="Times New Roman" w:hAnsi="Times New Roman" w:cs="Times New Roman"/>
          <w:shd w:val="clear" w:color="auto" w:fill="FFFFFF"/>
        </w:rPr>
        <w:t>in a planned and transparent manner between</w:t>
      </w:r>
      <w:r w:rsidR="00215C46" w:rsidRPr="00D24079">
        <w:rPr>
          <w:rFonts w:ascii="Times New Roman" w:eastAsia="Times New Roman" w:hAnsi="Times New Roman" w:cs="Times New Roman"/>
          <w:shd w:val="clear" w:color="auto" w:fill="FFFFFF"/>
        </w:rPr>
        <w:t xml:space="preserve"> 2016 </w:t>
      </w:r>
      <w:r w:rsidR="00BA1CA8" w:rsidRPr="00D24079">
        <w:rPr>
          <w:rFonts w:ascii="Times New Roman" w:eastAsia="Times New Roman" w:hAnsi="Times New Roman" w:cs="Times New Roman"/>
          <w:shd w:val="clear" w:color="auto" w:fill="FFFFFF"/>
        </w:rPr>
        <w:t>and</w:t>
      </w:r>
      <w:r w:rsidR="00215C46" w:rsidRPr="00D24079">
        <w:rPr>
          <w:rFonts w:ascii="Times New Roman" w:eastAsia="Times New Roman" w:hAnsi="Times New Roman" w:cs="Times New Roman"/>
          <w:shd w:val="clear" w:color="auto" w:fill="FFFFFF"/>
        </w:rPr>
        <w:t xml:space="preserve"> 2021 from $9.60 to </w:t>
      </w:r>
      <w:r w:rsidR="00717CFC" w:rsidRPr="00D24079">
        <w:rPr>
          <w:rFonts w:ascii="Times New Roman" w:eastAsia="Times New Roman" w:hAnsi="Times New Roman" w:cs="Times New Roman"/>
          <w:shd w:val="clear" w:color="auto" w:fill="FFFFFF"/>
        </w:rPr>
        <w:t>$13.20.</w:t>
      </w:r>
      <w:r w:rsidR="003C6AF3" w:rsidRPr="00D24079">
        <w:rPr>
          <w:rStyle w:val="FootnoteReference"/>
          <w:rFonts w:ascii="Times New Roman" w:eastAsia="Times New Roman" w:hAnsi="Times New Roman" w:cs="Times New Roman"/>
          <w:shd w:val="clear" w:color="auto" w:fill="FFFFFF"/>
        </w:rPr>
        <w:footnoteReference w:id="1"/>
      </w:r>
      <w:r w:rsidR="00717CFC" w:rsidRPr="00D24079">
        <w:rPr>
          <w:rFonts w:ascii="Times New Roman" w:eastAsia="Times New Roman" w:hAnsi="Times New Roman" w:cs="Times New Roman"/>
          <w:shd w:val="clear" w:color="auto" w:fill="FFFFFF"/>
        </w:rPr>
        <w:t xml:space="preserve"> </w:t>
      </w:r>
      <w:r w:rsidR="00E82CD8" w:rsidRPr="00D24079">
        <w:rPr>
          <w:rFonts w:ascii="Times New Roman" w:eastAsia="Times New Roman" w:hAnsi="Times New Roman" w:cs="Times New Roman"/>
          <w:shd w:val="clear" w:color="auto" w:fill="FFFFFF"/>
        </w:rPr>
        <w:t>Alternatives Federal Credit Unio</w:t>
      </w:r>
      <w:r w:rsidR="00133955" w:rsidRPr="00D24079">
        <w:rPr>
          <w:rFonts w:ascii="Times New Roman" w:eastAsia="Times New Roman" w:hAnsi="Times New Roman" w:cs="Times New Roman"/>
          <w:shd w:val="clear" w:color="auto" w:fill="FFFFFF"/>
        </w:rPr>
        <w:t>n</w:t>
      </w:r>
      <w:r w:rsidR="00D02F8B" w:rsidRPr="00D24079">
        <w:rPr>
          <w:rFonts w:ascii="Times New Roman" w:eastAsia="Times New Roman" w:hAnsi="Times New Roman" w:cs="Times New Roman"/>
          <w:shd w:val="clear" w:color="auto" w:fill="FFFFFF"/>
        </w:rPr>
        <w:t xml:space="preserve"> </w:t>
      </w:r>
      <w:r w:rsidR="00BA1CA8" w:rsidRPr="00D24079">
        <w:rPr>
          <w:rFonts w:ascii="Times New Roman" w:eastAsia="Times New Roman" w:hAnsi="Times New Roman" w:cs="Times New Roman"/>
          <w:shd w:val="clear" w:color="auto" w:fill="FFFFFF"/>
        </w:rPr>
        <w:t>produces a living wage calculation based on data on the cost of living</w:t>
      </w:r>
      <w:r w:rsidR="00B46DE1" w:rsidRPr="00D24079">
        <w:rPr>
          <w:rFonts w:ascii="Times New Roman" w:eastAsia="Times New Roman" w:hAnsi="Times New Roman" w:cs="Times New Roman"/>
          <w:shd w:val="clear" w:color="auto" w:fill="FFFFFF"/>
        </w:rPr>
        <w:t>.</w:t>
      </w:r>
      <w:r w:rsidR="003C6AF3" w:rsidRPr="00D24079">
        <w:rPr>
          <w:rStyle w:val="FootnoteReference"/>
          <w:rFonts w:ascii="Times New Roman" w:eastAsia="Times New Roman" w:hAnsi="Times New Roman" w:cs="Times New Roman"/>
          <w:shd w:val="clear" w:color="auto" w:fill="FFFFFF"/>
        </w:rPr>
        <w:footnoteReference w:id="2"/>
      </w:r>
      <w:r w:rsidR="00BA1CA8" w:rsidRPr="00D24079">
        <w:rPr>
          <w:rFonts w:ascii="Times New Roman" w:eastAsia="Times New Roman" w:hAnsi="Times New Roman" w:cs="Times New Roman"/>
          <w:shd w:val="clear" w:color="auto" w:fill="FFFFFF"/>
        </w:rPr>
        <w:t xml:space="preserve"> T</w:t>
      </w:r>
      <w:r w:rsidR="00B46DE1" w:rsidRPr="00D24079">
        <w:rPr>
          <w:rFonts w:ascii="Times New Roman" w:eastAsia="Times New Roman" w:hAnsi="Times New Roman" w:cs="Times New Roman"/>
          <w:shd w:val="clear" w:color="auto" w:fill="FFFFFF"/>
        </w:rPr>
        <w:t xml:space="preserve">his </w:t>
      </w:r>
      <w:r w:rsidRPr="00D24079">
        <w:rPr>
          <w:rFonts w:ascii="Times New Roman" w:eastAsia="Times New Roman" w:hAnsi="Times New Roman" w:cs="Times New Roman"/>
          <w:shd w:val="clear" w:color="auto" w:fill="FFFFFF"/>
        </w:rPr>
        <w:t>Living</w:t>
      </w:r>
      <w:r w:rsidR="00B46DE1" w:rsidRPr="00D24079">
        <w:rPr>
          <w:rFonts w:ascii="Times New Roman" w:eastAsia="Times New Roman" w:hAnsi="Times New Roman" w:cs="Times New Roman"/>
          <w:shd w:val="clear" w:color="auto" w:fill="FFFFFF"/>
        </w:rPr>
        <w:t xml:space="preserve"> Wage </w:t>
      </w:r>
      <w:r w:rsidR="00D02F8B" w:rsidRPr="00D24079">
        <w:rPr>
          <w:rFonts w:ascii="Times New Roman" w:eastAsia="Times New Roman" w:hAnsi="Times New Roman" w:cs="Times New Roman"/>
          <w:shd w:val="clear" w:color="auto" w:fill="FFFFFF"/>
        </w:rPr>
        <w:t xml:space="preserve">(LW) </w:t>
      </w:r>
      <w:r w:rsidR="00B46DE1" w:rsidRPr="00D24079">
        <w:rPr>
          <w:rFonts w:ascii="Times New Roman" w:eastAsia="Times New Roman" w:hAnsi="Times New Roman" w:cs="Times New Roman"/>
          <w:shd w:val="clear" w:color="auto" w:fill="FFFFFF"/>
        </w:rPr>
        <w:t xml:space="preserve">is </w:t>
      </w:r>
      <w:r w:rsidR="00BA1CA8" w:rsidRPr="00D24079">
        <w:rPr>
          <w:rFonts w:ascii="Times New Roman" w:eastAsia="Times New Roman" w:hAnsi="Times New Roman" w:cs="Times New Roman"/>
          <w:shd w:val="clear" w:color="auto" w:fill="FFFFFF"/>
        </w:rPr>
        <w:t xml:space="preserve">normally </w:t>
      </w:r>
      <w:r w:rsidR="00B46DE1" w:rsidRPr="00D24079">
        <w:rPr>
          <w:rFonts w:ascii="Times New Roman" w:eastAsia="Times New Roman" w:hAnsi="Times New Roman" w:cs="Times New Roman"/>
          <w:shd w:val="clear" w:color="auto" w:fill="FFFFFF"/>
        </w:rPr>
        <w:t xml:space="preserve">calculated </w:t>
      </w:r>
      <w:r w:rsidR="00BA1CA8" w:rsidRPr="00D24079">
        <w:rPr>
          <w:rFonts w:ascii="Times New Roman" w:eastAsia="Times New Roman" w:hAnsi="Times New Roman" w:cs="Times New Roman"/>
          <w:shd w:val="clear" w:color="auto" w:fill="FFFFFF"/>
        </w:rPr>
        <w:t>for Tompkins County every two years, based on</w:t>
      </w:r>
      <w:r w:rsidR="00AD5369" w:rsidRPr="00D24079">
        <w:rPr>
          <w:rFonts w:ascii="Times New Roman" w:eastAsia="Times New Roman" w:hAnsi="Times New Roman" w:cs="Times New Roman"/>
          <w:shd w:val="clear" w:color="auto" w:fill="FFFFFF"/>
        </w:rPr>
        <w:t xml:space="preserve"> prices for rent, food, transportation, communication, recreation, savings and miscellaneous houseware/clothing items. For full</w:t>
      </w:r>
      <w:r w:rsidR="00655198" w:rsidRPr="00D24079">
        <w:rPr>
          <w:rFonts w:ascii="Times New Roman" w:eastAsia="Times New Roman" w:hAnsi="Times New Roman" w:cs="Times New Roman"/>
          <w:shd w:val="clear" w:color="auto" w:fill="FFFFFF"/>
        </w:rPr>
        <w:t>-</w:t>
      </w:r>
      <w:r w:rsidR="00AD5369" w:rsidRPr="00D24079">
        <w:rPr>
          <w:rFonts w:ascii="Times New Roman" w:eastAsia="Times New Roman" w:hAnsi="Times New Roman" w:cs="Times New Roman"/>
          <w:shd w:val="clear" w:color="auto" w:fill="FFFFFF"/>
        </w:rPr>
        <w:t>time employees b</w:t>
      </w:r>
      <w:r w:rsidR="00D02F8B" w:rsidRPr="00D24079">
        <w:rPr>
          <w:rFonts w:ascii="Times New Roman" w:eastAsia="Times New Roman" w:hAnsi="Times New Roman" w:cs="Times New Roman"/>
          <w:shd w:val="clear" w:color="auto" w:fill="FFFFFF"/>
        </w:rPr>
        <w:t>etween 2015</w:t>
      </w:r>
      <w:r w:rsidR="00BA1CA8" w:rsidRPr="00D24079">
        <w:rPr>
          <w:rFonts w:ascii="Times New Roman" w:eastAsia="Times New Roman" w:hAnsi="Times New Roman" w:cs="Times New Roman"/>
          <w:shd w:val="clear" w:color="auto" w:fill="FFFFFF"/>
        </w:rPr>
        <w:t xml:space="preserve"> and </w:t>
      </w:r>
      <w:r w:rsidR="00D02F8B" w:rsidRPr="00D24079">
        <w:rPr>
          <w:rFonts w:ascii="Times New Roman" w:eastAsia="Times New Roman" w:hAnsi="Times New Roman" w:cs="Times New Roman"/>
          <w:shd w:val="clear" w:color="auto" w:fill="FFFFFF"/>
        </w:rPr>
        <w:t>202</w:t>
      </w:r>
      <w:r w:rsidRPr="00D24079">
        <w:rPr>
          <w:rFonts w:ascii="Times New Roman" w:eastAsia="Times New Roman" w:hAnsi="Times New Roman" w:cs="Times New Roman"/>
          <w:shd w:val="clear" w:color="auto" w:fill="FFFFFF"/>
        </w:rPr>
        <w:t>2</w:t>
      </w:r>
      <w:r w:rsidR="00D02F8B" w:rsidRPr="00D24079">
        <w:rPr>
          <w:rFonts w:ascii="Times New Roman" w:eastAsia="Times New Roman" w:hAnsi="Times New Roman" w:cs="Times New Roman"/>
          <w:shd w:val="clear" w:color="auto" w:fill="FFFFFF"/>
        </w:rPr>
        <w:t xml:space="preserve">, </w:t>
      </w:r>
      <w:r w:rsidR="00BA1CA8" w:rsidRPr="00D24079">
        <w:rPr>
          <w:rFonts w:ascii="Times New Roman" w:eastAsia="Times New Roman" w:hAnsi="Times New Roman" w:cs="Times New Roman"/>
          <w:shd w:val="clear" w:color="auto" w:fill="FFFFFF"/>
        </w:rPr>
        <w:t>AFCU’s headline figure</w:t>
      </w:r>
      <w:r w:rsidR="00AD5369" w:rsidRPr="00D24079">
        <w:rPr>
          <w:rFonts w:ascii="Times New Roman" w:eastAsia="Times New Roman" w:hAnsi="Times New Roman" w:cs="Times New Roman"/>
          <w:shd w:val="clear" w:color="auto" w:fill="FFFFFF"/>
        </w:rPr>
        <w:t xml:space="preserve"> rose from </w:t>
      </w:r>
      <w:r w:rsidR="00B46DE1" w:rsidRPr="00D24079">
        <w:rPr>
          <w:rFonts w:ascii="Times New Roman" w:eastAsia="Times New Roman" w:hAnsi="Times New Roman" w:cs="Times New Roman"/>
          <w:shd w:val="clear" w:color="auto" w:fill="FFFFFF"/>
        </w:rPr>
        <w:t xml:space="preserve">$13.77 </w:t>
      </w:r>
      <w:r w:rsidR="00BA1CA8" w:rsidRPr="00D24079">
        <w:rPr>
          <w:rFonts w:ascii="Times New Roman" w:eastAsia="Times New Roman" w:hAnsi="Times New Roman" w:cs="Times New Roman"/>
          <w:shd w:val="clear" w:color="auto" w:fill="FFFFFF"/>
        </w:rPr>
        <w:t>to</w:t>
      </w:r>
      <w:r w:rsidR="00B46DE1" w:rsidRPr="00D24079">
        <w:rPr>
          <w:rFonts w:ascii="Times New Roman" w:eastAsia="Times New Roman" w:hAnsi="Times New Roman" w:cs="Times New Roman"/>
          <w:shd w:val="clear" w:color="auto" w:fill="FFFFFF"/>
        </w:rPr>
        <w:t xml:space="preserve"> </w:t>
      </w:r>
      <w:r w:rsidR="00D02F8B" w:rsidRPr="00D24079">
        <w:rPr>
          <w:rFonts w:ascii="Times New Roman" w:eastAsia="Times New Roman" w:hAnsi="Times New Roman" w:cs="Times New Roman"/>
          <w:shd w:val="clear" w:color="auto" w:fill="FFFFFF"/>
        </w:rPr>
        <w:t>$1</w:t>
      </w:r>
      <w:r w:rsidRPr="00D24079">
        <w:rPr>
          <w:rFonts w:ascii="Times New Roman" w:eastAsia="Times New Roman" w:hAnsi="Times New Roman" w:cs="Times New Roman"/>
          <w:shd w:val="clear" w:color="auto" w:fill="FFFFFF"/>
        </w:rPr>
        <w:t>6.6</w:t>
      </w:r>
      <w:r w:rsidR="009678E6">
        <w:rPr>
          <w:rFonts w:ascii="Times New Roman" w:eastAsia="Times New Roman" w:hAnsi="Times New Roman" w:cs="Times New Roman"/>
          <w:shd w:val="clear" w:color="auto" w:fill="FFFFFF"/>
        </w:rPr>
        <w:t>1</w:t>
      </w:r>
      <w:r w:rsidR="00D02F8B" w:rsidRPr="00D24079">
        <w:rPr>
          <w:rFonts w:ascii="Times New Roman" w:eastAsia="Times New Roman" w:hAnsi="Times New Roman" w:cs="Times New Roman"/>
          <w:shd w:val="clear" w:color="auto" w:fill="FFFFFF"/>
        </w:rPr>
        <w:t xml:space="preserve"> (</w:t>
      </w:r>
      <w:r w:rsidR="00BA1CA8" w:rsidRPr="00D24079">
        <w:rPr>
          <w:rFonts w:ascii="Times New Roman" w:eastAsia="Times New Roman" w:hAnsi="Times New Roman" w:cs="Times New Roman"/>
          <w:shd w:val="clear" w:color="auto" w:fill="FFFFFF"/>
        </w:rPr>
        <w:t>although it is lower for workers whose employers provide health insurance</w:t>
      </w:r>
      <w:r w:rsidR="00AC3928">
        <w:rPr>
          <w:rFonts w:ascii="Times New Roman" w:eastAsia="Times New Roman" w:hAnsi="Times New Roman" w:cs="Times New Roman"/>
          <w:shd w:val="clear" w:color="auto" w:fill="FFFFFF"/>
        </w:rPr>
        <w:t>.</w:t>
      </w:r>
      <w:r w:rsidRPr="00D24079">
        <w:rPr>
          <w:rFonts w:ascii="Times New Roman" w:eastAsia="Times New Roman" w:hAnsi="Times New Roman" w:cs="Times New Roman"/>
          <w:shd w:val="clear" w:color="auto" w:fill="FFFFFF"/>
        </w:rPr>
        <w:t xml:space="preserve"> calculation is</w:t>
      </w:r>
      <w:r w:rsidR="00BA1CA8" w:rsidRPr="00D24079">
        <w:rPr>
          <w:rFonts w:ascii="Times New Roman" w:eastAsia="Times New Roman" w:hAnsi="Times New Roman" w:cs="Times New Roman"/>
          <w:shd w:val="clear" w:color="auto" w:fill="FFFFFF"/>
        </w:rPr>
        <w:t xml:space="preserve"> $3.42 more than the minimum wage.</w:t>
      </w:r>
      <w:r w:rsidR="00AD5369" w:rsidRPr="00D24079">
        <w:rPr>
          <w:rFonts w:ascii="Times New Roman" w:eastAsia="Times New Roman" w:hAnsi="Times New Roman" w:cs="Times New Roman"/>
          <w:shd w:val="clear" w:color="auto" w:fill="FFFFFF"/>
        </w:rPr>
        <w:t xml:space="preserve"> </w:t>
      </w:r>
    </w:p>
    <w:p w14:paraId="0A6715A9" w14:textId="77777777" w:rsidR="00AD5369" w:rsidRPr="00D24079" w:rsidRDefault="00AD5369" w:rsidP="00D36D3E">
      <w:pPr>
        <w:rPr>
          <w:rFonts w:ascii="Times New Roman" w:eastAsia="Times New Roman" w:hAnsi="Times New Roman" w:cs="Times New Roman"/>
          <w:shd w:val="clear" w:color="auto" w:fill="FFFFFF"/>
        </w:rPr>
      </w:pPr>
    </w:p>
    <w:p w14:paraId="6B11CDDD" w14:textId="2DEEBA15" w:rsidR="00D36D3E" w:rsidRPr="00D24079" w:rsidRDefault="00A35F2A" w:rsidP="00D36D3E">
      <w:pPr>
        <w:rPr>
          <w:rFonts w:ascii="Times New Roman" w:eastAsia="Times New Roman" w:hAnsi="Times New Roman" w:cs="Times New Roman"/>
          <w:shd w:val="clear" w:color="auto" w:fill="FFFFFF"/>
        </w:rPr>
      </w:pPr>
      <w:r w:rsidRPr="00D24079">
        <w:rPr>
          <w:rFonts w:ascii="Times New Roman" w:eastAsia="Times New Roman" w:hAnsi="Times New Roman" w:cs="Times New Roman"/>
          <w:shd w:val="clear" w:color="auto" w:fill="FFFFFF"/>
        </w:rPr>
        <w:t>In 201</w:t>
      </w:r>
      <w:r w:rsidR="0056408D" w:rsidRPr="00D24079">
        <w:rPr>
          <w:rFonts w:ascii="Times New Roman" w:eastAsia="Times New Roman" w:hAnsi="Times New Roman" w:cs="Times New Roman"/>
          <w:shd w:val="clear" w:color="auto" w:fill="FFFFFF"/>
        </w:rPr>
        <w:t>8</w:t>
      </w:r>
      <w:r w:rsidRPr="00D24079">
        <w:rPr>
          <w:rFonts w:ascii="Times New Roman" w:eastAsia="Times New Roman" w:hAnsi="Times New Roman" w:cs="Times New Roman"/>
          <w:shd w:val="clear" w:color="auto" w:fill="FFFFFF"/>
        </w:rPr>
        <w:t xml:space="preserve">, then Tompkins County Legislators Leslyn </w:t>
      </w:r>
      <w:r w:rsidR="00AC3928">
        <w:rPr>
          <w:rFonts w:ascii="Times New Roman" w:eastAsia="Times New Roman" w:hAnsi="Times New Roman" w:cs="Times New Roman"/>
          <w:shd w:val="clear" w:color="auto" w:fill="FFFFFF"/>
        </w:rPr>
        <w:t xml:space="preserve">McBean-Clairborne </w:t>
      </w:r>
      <w:r w:rsidRPr="00D24079">
        <w:rPr>
          <w:rFonts w:ascii="Times New Roman" w:eastAsia="Times New Roman" w:hAnsi="Times New Roman" w:cs="Times New Roman"/>
          <w:shd w:val="clear" w:color="auto" w:fill="FFFFFF"/>
        </w:rPr>
        <w:t>and Anna Kelles</w:t>
      </w:r>
      <w:r w:rsidR="000836E5" w:rsidRPr="00D24079">
        <w:rPr>
          <w:rFonts w:ascii="Times New Roman" w:eastAsia="Times New Roman" w:hAnsi="Times New Roman" w:cs="Times New Roman"/>
          <w:shd w:val="clear" w:color="auto" w:fill="FFFFFF"/>
        </w:rPr>
        <w:t>, in collaboration with the Tompkins County Workers</w:t>
      </w:r>
      <w:r w:rsidR="00563A8C" w:rsidRPr="00D24079">
        <w:rPr>
          <w:rFonts w:ascii="Times New Roman" w:eastAsia="Times New Roman" w:hAnsi="Times New Roman" w:cs="Times New Roman"/>
          <w:shd w:val="clear" w:color="auto" w:fill="FFFFFF"/>
        </w:rPr>
        <w:t>’</w:t>
      </w:r>
      <w:r w:rsidR="000836E5" w:rsidRPr="00D24079">
        <w:rPr>
          <w:rFonts w:ascii="Times New Roman" w:eastAsia="Times New Roman" w:hAnsi="Times New Roman" w:cs="Times New Roman"/>
          <w:shd w:val="clear" w:color="auto" w:fill="FFFFFF"/>
        </w:rPr>
        <w:t xml:space="preserve"> Center Director Pete M</w:t>
      </w:r>
      <w:r w:rsidR="00AC3928">
        <w:rPr>
          <w:rFonts w:ascii="Times New Roman" w:eastAsia="Times New Roman" w:hAnsi="Times New Roman" w:cs="Times New Roman"/>
          <w:shd w:val="clear" w:color="auto" w:fill="FFFFFF"/>
        </w:rPr>
        <w:t>e</w:t>
      </w:r>
      <w:r w:rsidR="000836E5" w:rsidRPr="00D24079">
        <w:rPr>
          <w:rFonts w:ascii="Times New Roman" w:eastAsia="Times New Roman" w:hAnsi="Times New Roman" w:cs="Times New Roman"/>
          <w:shd w:val="clear" w:color="auto" w:fill="FFFFFF"/>
        </w:rPr>
        <w:t xml:space="preserve">yers, </w:t>
      </w:r>
      <w:r w:rsidRPr="00D24079">
        <w:rPr>
          <w:rFonts w:ascii="Times New Roman" w:eastAsia="Times New Roman" w:hAnsi="Times New Roman" w:cs="Times New Roman"/>
          <w:shd w:val="clear" w:color="auto" w:fill="FFFFFF"/>
        </w:rPr>
        <w:t xml:space="preserve">convened </w:t>
      </w:r>
      <w:r w:rsidR="000836E5" w:rsidRPr="00D24079">
        <w:rPr>
          <w:rFonts w:ascii="Times New Roman" w:eastAsia="Times New Roman" w:hAnsi="Times New Roman" w:cs="Times New Roman"/>
          <w:shd w:val="clear" w:color="auto" w:fill="FFFFFF"/>
        </w:rPr>
        <w:t>the Tompkins County Livable Wage Working Group</w:t>
      </w:r>
      <w:r w:rsidR="00A930E7" w:rsidRPr="00D24079">
        <w:rPr>
          <w:rFonts w:ascii="Times New Roman" w:eastAsia="Times New Roman" w:hAnsi="Times New Roman" w:cs="Times New Roman"/>
          <w:shd w:val="clear" w:color="auto" w:fill="FFFFFF"/>
        </w:rPr>
        <w:t xml:space="preserve"> (TCLWWG)</w:t>
      </w:r>
      <w:r w:rsidR="00563A8C" w:rsidRPr="00D24079">
        <w:rPr>
          <w:rFonts w:ascii="Times New Roman" w:eastAsia="Times New Roman" w:hAnsi="Times New Roman" w:cs="Times New Roman"/>
          <w:shd w:val="clear" w:color="auto" w:fill="FFFFFF"/>
        </w:rPr>
        <w:t xml:space="preserve">. </w:t>
      </w:r>
      <w:r w:rsidR="00EB07AE" w:rsidRPr="00D24079">
        <w:rPr>
          <w:rFonts w:ascii="Times New Roman" w:eastAsia="Times New Roman" w:hAnsi="Times New Roman" w:cs="Times New Roman"/>
          <w:shd w:val="clear" w:color="auto" w:fill="FFFFFF"/>
        </w:rPr>
        <w:t xml:space="preserve">The group </w:t>
      </w:r>
      <w:r w:rsidR="0077135D" w:rsidRPr="00D24079">
        <w:rPr>
          <w:rFonts w:ascii="Times New Roman" w:eastAsia="Times New Roman" w:hAnsi="Times New Roman" w:cs="Times New Roman"/>
          <w:shd w:val="clear" w:color="auto" w:fill="FFFFFF"/>
        </w:rPr>
        <w:t>included representatives</w:t>
      </w:r>
      <w:r w:rsidR="00EB07AE" w:rsidRPr="00D24079">
        <w:rPr>
          <w:rFonts w:ascii="Times New Roman" w:eastAsia="Times New Roman" w:hAnsi="Times New Roman" w:cs="Times New Roman"/>
          <w:shd w:val="clear" w:color="auto" w:fill="FFFFFF"/>
        </w:rPr>
        <w:t xml:space="preserve"> from local business, union</w:t>
      </w:r>
      <w:r w:rsidR="00A52D08" w:rsidRPr="00D24079">
        <w:rPr>
          <w:rFonts w:ascii="Times New Roman" w:eastAsia="Times New Roman" w:hAnsi="Times New Roman" w:cs="Times New Roman"/>
          <w:shd w:val="clear" w:color="auto" w:fill="FFFFFF"/>
        </w:rPr>
        <w:t>s</w:t>
      </w:r>
      <w:r w:rsidR="00EB07AE" w:rsidRPr="00D24079">
        <w:rPr>
          <w:rFonts w:ascii="Times New Roman" w:eastAsia="Times New Roman" w:hAnsi="Times New Roman" w:cs="Times New Roman"/>
          <w:shd w:val="clear" w:color="auto" w:fill="FFFFFF"/>
        </w:rPr>
        <w:t xml:space="preserve">, non-profit </w:t>
      </w:r>
      <w:r w:rsidR="00A52D08" w:rsidRPr="00D24079">
        <w:rPr>
          <w:rFonts w:ascii="Times New Roman" w:eastAsia="Times New Roman" w:hAnsi="Times New Roman" w:cs="Times New Roman"/>
          <w:shd w:val="clear" w:color="auto" w:fill="FFFFFF"/>
        </w:rPr>
        <w:t>agencies, and social services.</w:t>
      </w:r>
      <w:r w:rsidR="0056408D" w:rsidRPr="00D24079">
        <w:rPr>
          <w:rFonts w:ascii="Times New Roman" w:eastAsia="Times New Roman" w:hAnsi="Times New Roman" w:cs="Times New Roman"/>
          <w:shd w:val="clear" w:color="auto" w:fill="FFFFFF"/>
        </w:rPr>
        <w:t xml:space="preserve"> </w:t>
      </w:r>
      <w:r w:rsidR="003D15CB" w:rsidRPr="00D24079">
        <w:rPr>
          <w:rFonts w:ascii="Times New Roman" w:eastAsia="Times New Roman" w:hAnsi="Times New Roman" w:cs="Times New Roman"/>
          <w:shd w:val="clear" w:color="auto" w:fill="FFFFFF"/>
        </w:rPr>
        <w:t>There</w:t>
      </w:r>
      <w:r w:rsidR="00A52D08" w:rsidRPr="00D24079">
        <w:rPr>
          <w:rFonts w:ascii="Times New Roman" w:eastAsia="Times New Roman" w:hAnsi="Times New Roman" w:cs="Times New Roman"/>
          <w:shd w:val="clear" w:color="auto" w:fill="FFFFFF"/>
        </w:rPr>
        <w:t xml:space="preserve"> were </w:t>
      </w:r>
      <w:r w:rsidR="003D15CB" w:rsidRPr="00D24079">
        <w:rPr>
          <w:rFonts w:ascii="Times New Roman" w:eastAsia="Times New Roman" w:hAnsi="Times New Roman" w:cs="Times New Roman"/>
          <w:shd w:val="clear" w:color="auto" w:fill="FFFFFF"/>
        </w:rPr>
        <w:t xml:space="preserve">also researchers from Cornell </w:t>
      </w:r>
      <w:r w:rsidR="00FD2E6A" w:rsidRPr="00D24079">
        <w:rPr>
          <w:rFonts w:ascii="Times New Roman" w:eastAsia="Times New Roman" w:hAnsi="Times New Roman" w:cs="Times New Roman"/>
          <w:shd w:val="clear" w:color="auto" w:fill="FFFFFF"/>
        </w:rPr>
        <w:t>University</w:t>
      </w:r>
      <w:r w:rsidR="0077135D" w:rsidRPr="00D24079">
        <w:rPr>
          <w:rFonts w:ascii="Times New Roman" w:eastAsia="Times New Roman" w:hAnsi="Times New Roman" w:cs="Times New Roman"/>
          <w:shd w:val="clear" w:color="auto" w:fill="FFFFFF"/>
        </w:rPr>
        <w:t>’s School of Industrial and Labor Relations</w:t>
      </w:r>
      <w:r w:rsidR="00FD2E6A" w:rsidRPr="00D24079">
        <w:rPr>
          <w:rFonts w:ascii="Times New Roman" w:eastAsia="Times New Roman" w:hAnsi="Times New Roman" w:cs="Times New Roman"/>
          <w:shd w:val="clear" w:color="auto" w:fill="FFFFFF"/>
        </w:rPr>
        <w:t xml:space="preserve"> and Ithaca College</w:t>
      </w:r>
      <w:r w:rsidR="0077135D" w:rsidRPr="00D24079">
        <w:rPr>
          <w:rFonts w:ascii="Times New Roman" w:eastAsia="Times New Roman" w:hAnsi="Times New Roman" w:cs="Times New Roman"/>
          <w:shd w:val="clear" w:color="auto" w:fill="FFFFFF"/>
        </w:rPr>
        <w:t>’s Economics Department</w:t>
      </w:r>
      <w:r w:rsidR="00FD2E6A" w:rsidRPr="00D24079">
        <w:rPr>
          <w:rFonts w:ascii="Times New Roman" w:eastAsia="Times New Roman" w:hAnsi="Times New Roman" w:cs="Times New Roman"/>
          <w:shd w:val="clear" w:color="auto" w:fill="FFFFFF"/>
        </w:rPr>
        <w:t xml:space="preserve">. The group’s goal was to uncover the challenges and opportunities that would come from </w:t>
      </w:r>
      <w:r w:rsidR="004F31B3" w:rsidRPr="00D24079">
        <w:rPr>
          <w:rFonts w:ascii="Times New Roman" w:eastAsia="Times New Roman" w:hAnsi="Times New Roman" w:cs="Times New Roman"/>
          <w:shd w:val="clear" w:color="auto" w:fill="FFFFFF"/>
        </w:rPr>
        <w:t>county</w:t>
      </w:r>
      <w:r w:rsidR="0077135D" w:rsidRPr="00D24079">
        <w:rPr>
          <w:rFonts w:ascii="Times New Roman" w:eastAsia="Times New Roman" w:hAnsi="Times New Roman" w:cs="Times New Roman"/>
          <w:shd w:val="clear" w:color="auto" w:fill="FFFFFF"/>
        </w:rPr>
        <w:t>-level</w:t>
      </w:r>
      <w:r w:rsidR="004F31B3" w:rsidRPr="00D24079">
        <w:rPr>
          <w:rFonts w:ascii="Times New Roman" w:eastAsia="Times New Roman" w:hAnsi="Times New Roman" w:cs="Times New Roman"/>
          <w:shd w:val="clear" w:color="auto" w:fill="FFFFFF"/>
        </w:rPr>
        <w:t xml:space="preserve"> </w:t>
      </w:r>
      <w:r w:rsidR="00FD2E6A" w:rsidRPr="00D24079">
        <w:rPr>
          <w:rFonts w:ascii="Times New Roman" w:eastAsia="Times New Roman" w:hAnsi="Times New Roman" w:cs="Times New Roman"/>
          <w:shd w:val="clear" w:color="auto" w:fill="FFFFFF"/>
        </w:rPr>
        <w:t xml:space="preserve">legislation that </w:t>
      </w:r>
      <w:r w:rsidR="00E3563F" w:rsidRPr="00D24079">
        <w:rPr>
          <w:rFonts w:ascii="Times New Roman" w:eastAsia="Times New Roman" w:hAnsi="Times New Roman" w:cs="Times New Roman"/>
          <w:shd w:val="clear" w:color="auto" w:fill="FFFFFF"/>
        </w:rPr>
        <w:t xml:space="preserve">would </w:t>
      </w:r>
      <w:r w:rsidR="00FD2E6A" w:rsidRPr="00D24079">
        <w:rPr>
          <w:rFonts w:ascii="Times New Roman" w:eastAsia="Times New Roman" w:hAnsi="Times New Roman" w:cs="Times New Roman"/>
          <w:shd w:val="clear" w:color="auto" w:fill="FFFFFF"/>
        </w:rPr>
        <w:t>require the minimum wage to be equal to the livable wage</w:t>
      </w:r>
      <w:r w:rsidR="0077135D" w:rsidRPr="00D24079">
        <w:rPr>
          <w:rFonts w:ascii="Times New Roman" w:eastAsia="Times New Roman" w:hAnsi="Times New Roman" w:cs="Times New Roman"/>
          <w:shd w:val="clear" w:color="auto" w:fill="FFFFFF"/>
        </w:rPr>
        <w:t xml:space="preserve">, in other words to find out whether LW legislation was “feasible”. </w:t>
      </w:r>
      <w:r w:rsidR="00FD2E6A" w:rsidRPr="00D24079">
        <w:rPr>
          <w:rFonts w:ascii="Times New Roman" w:eastAsia="Times New Roman" w:hAnsi="Times New Roman" w:cs="Times New Roman"/>
          <w:shd w:val="clear" w:color="auto" w:fill="FFFFFF"/>
        </w:rPr>
        <w:t xml:space="preserve"> </w:t>
      </w:r>
    </w:p>
    <w:p w14:paraId="216A1916" w14:textId="7E511656" w:rsidR="00E3563F" w:rsidRPr="00D24079" w:rsidRDefault="00E3563F" w:rsidP="00D36D3E">
      <w:pPr>
        <w:rPr>
          <w:rFonts w:ascii="Times New Roman" w:eastAsia="Times New Roman" w:hAnsi="Times New Roman" w:cs="Times New Roman"/>
          <w:shd w:val="clear" w:color="auto" w:fill="FFFFFF"/>
        </w:rPr>
      </w:pPr>
    </w:p>
    <w:p w14:paraId="07D2EE09" w14:textId="16648410" w:rsidR="00E3563F" w:rsidRPr="00D24079" w:rsidRDefault="007441A7" w:rsidP="00D36D3E">
      <w:pPr>
        <w:rPr>
          <w:rFonts w:ascii="Times New Roman" w:eastAsia="Times New Roman" w:hAnsi="Times New Roman" w:cs="Times New Roman"/>
          <w:shd w:val="clear" w:color="auto" w:fill="FFFFFF"/>
        </w:rPr>
      </w:pPr>
      <w:r w:rsidRPr="00D24079">
        <w:rPr>
          <w:rFonts w:ascii="Times New Roman" w:eastAsia="Times New Roman" w:hAnsi="Times New Roman" w:cs="Times New Roman"/>
          <w:shd w:val="clear" w:color="auto" w:fill="FFFFFF"/>
        </w:rPr>
        <w:t xml:space="preserve">Over several months </w:t>
      </w:r>
      <w:r w:rsidR="00133955" w:rsidRPr="00D24079">
        <w:rPr>
          <w:rFonts w:ascii="Times New Roman" w:eastAsia="Times New Roman" w:hAnsi="Times New Roman" w:cs="Times New Roman"/>
          <w:shd w:val="clear" w:color="auto" w:fill="FFFFFF"/>
        </w:rPr>
        <w:t>the working group</w:t>
      </w:r>
      <w:r w:rsidR="00E3563F" w:rsidRPr="00D24079">
        <w:rPr>
          <w:rFonts w:ascii="Times New Roman" w:eastAsia="Times New Roman" w:hAnsi="Times New Roman" w:cs="Times New Roman"/>
          <w:shd w:val="clear" w:color="auto" w:fill="FFFFFF"/>
        </w:rPr>
        <w:t xml:space="preserve"> held many </w:t>
      </w:r>
      <w:r w:rsidR="009E1B04" w:rsidRPr="00D24079">
        <w:rPr>
          <w:rFonts w:ascii="Times New Roman" w:eastAsia="Times New Roman" w:hAnsi="Times New Roman" w:cs="Times New Roman"/>
          <w:shd w:val="clear" w:color="auto" w:fill="FFFFFF"/>
        </w:rPr>
        <w:t xml:space="preserve">structured </w:t>
      </w:r>
      <w:r w:rsidR="00E3563F" w:rsidRPr="00D24079">
        <w:rPr>
          <w:rFonts w:ascii="Times New Roman" w:eastAsia="Times New Roman" w:hAnsi="Times New Roman" w:cs="Times New Roman"/>
          <w:shd w:val="clear" w:color="auto" w:fill="FFFFFF"/>
        </w:rPr>
        <w:t xml:space="preserve">information gathering sessions with businesses </w:t>
      </w:r>
      <w:r w:rsidR="00D24079" w:rsidRPr="00D24079">
        <w:rPr>
          <w:rFonts w:ascii="Times New Roman" w:eastAsia="Times New Roman" w:hAnsi="Times New Roman" w:cs="Times New Roman"/>
          <w:shd w:val="clear" w:color="auto" w:fill="FFFFFF"/>
        </w:rPr>
        <w:t>and</w:t>
      </w:r>
      <w:r w:rsidRPr="00D24079">
        <w:rPr>
          <w:rFonts w:ascii="Times New Roman" w:eastAsia="Times New Roman" w:hAnsi="Times New Roman" w:cs="Times New Roman"/>
          <w:shd w:val="clear" w:color="auto" w:fill="FFFFFF"/>
        </w:rPr>
        <w:t xml:space="preserve"> </w:t>
      </w:r>
      <w:r w:rsidR="00E3563F" w:rsidRPr="00D24079">
        <w:rPr>
          <w:rFonts w:ascii="Times New Roman" w:eastAsia="Times New Roman" w:hAnsi="Times New Roman" w:cs="Times New Roman"/>
          <w:shd w:val="clear" w:color="auto" w:fill="FFFFFF"/>
        </w:rPr>
        <w:t>workers. The research sub</w:t>
      </w:r>
      <w:r w:rsidR="00DE008D" w:rsidRPr="00D24079">
        <w:rPr>
          <w:rFonts w:ascii="Times New Roman" w:eastAsia="Times New Roman" w:hAnsi="Times New Roman" w:cs="Times New Roman"/>
          <w:shd w:val="clear" w:color="auto" w:fill="FFFFFF"/>
        </w:rPr>
        <w:t>-</w:t>
      </w:r>
      <w:r w:rsidR="00E3563F" w:rsidRPr="00D24079">
        <w:rPr>
          <w:rFonts w:ascii="Times New Roman" w:eastAsia="Times New Roman" w:hAnsi="Times New Roman" w:cs="Times New Roman"/>
          <w:shd w:val="clear" w:color="auto" w:fill="FFFFFF"/>
        </w:rPr>
        <w:t xml:space="preserve">group </w:t>
      </w:r>
      <w:r w:rsidR="00133955" w:rsidRPr="00D24079">
        <w:rPr>
          <w:rFonts w:ascii="Times New Roman" w:eastAsia="Times New Roman" w:hAnsi="Times New Roman" w:cs="Times New Roman"/>
          <w:shd w:val="clear" w:color="auto" w:fill="FFFFFF"/>
        </w:rPr>
        <w:t>carried out</w:t>
      </w:r>
      <w:r w:rsidR="00DE008D" w:rsidRPr="00D24079">
        <w:rPr>
          <w:rFonts w:ascii="Times New Roman" w:eastAsia="Times New Roman" w:hAnsi="Times New Roman" w:cs="Times New Roman"/>
          <w:shd w:val="clear" w:color="auto" w:fill="FFFFFF"/>
        </w:rPr>
        <w:t xml:space="preserve"> several projects</w:t>
      </w:r>
      <w:r w:rsidR="000C09FF" w:rsidRPr="00D24079">
        <w:rPr>
          <w:rFonts w:ascii="Times New Roman" w:eastAsia="Times New Roman" w:hAnsi="Times New Roman" w:cs="Times New Roman"/>
          <w:shd w:val="clear" w:color="auto" w:fill="FFFFFF"/>
        </w:rPr>
        <w:t xml:space="preserve"> to learn more about current conditions for workers </w:t>
      </w:r>
      <w:r w:rsidR="00C9336A" w:rsidRPr="00D24079">
        <w:rPr>
          <w:rFonts w:ascii="Times New Roman" w:eastAsia="Times New Roman" w:hAnsi="Times New Roman" w:cs="Times New Roman"/>
          <w:shd w:val="clear" w:color="auto" w:fill="FFFFFF"/>
        </w:rPr>
        <w:t xml:space="preserve">and businesses </w:t>
      </w:r>
      <w:r w:rsidR="000C09FF" w:rsidRPr="00D24079">
        <w:rPr>
          <w:rFonts w:ascii="Times New Roman" w:eastAsia="Times New Roman" w:hAnsi="Times New Roman" w:cs="Times New Roman"/>
          <w:shd w:val="clear" w:color="auto" w:fill="FFFFFF"/>
        </w:rPr>
        <w:t xml:space="preserve">in the county. </w:t>
      </w:r>
      <w:r w:rsidR="00DE008D" w:rsidRPr="00D24079">
        <w:rPr>
          <w:rFonts w:ascii="Times New Roman" w:eastAsia="Times New Roman" w:hAnsi="Times New Roman" w:cs="Times New Roman"/>
          <w:shd w:val="clear" w:color="auto" w:fill="FFFFFF"/>
        </w:rPr>
        <w:t>This included doing analysis of labor market data, mainly based on American Community Survey 5-year estimates</w:t>
      </w:r>
      <w:r w:rsidR="00C9336A" w:rsidRPr="00D24079">
        <w:rPr>
          <w:rFonts w:ascii="Times New Roman" w:eastAsia="Times New Roman" w:hAnsi="Times New Roman" w:cs="Times New Roman"/>
          <w:shd w:val="clear" w:color="auto" w:fill="FFFFFF"/>
        </w:rPr>
        <w:t xml:space="preserve">; detailed simulations of the impact </w:t>
      </w:r>
      <w:r w:rsidRPr="00D24079">
        <w:rPr>
          <w:rFonts w:ascii="Times New Roman" w:eastAsia="Times New Roman" w:hAnsi="Times New Roman" w:cs="Times New Roman"/>
          <w:shd w:val="clear" w:color="auto" w:fill="FFFFFF"/>
        </w:rPr>
        <w:t xml:space="preserve">that raising wages would have on </w:t>
      </w:r>
      <w:r w:rsidR="00A930E7" w:rsidRPr="00D24079">
        <w:rPr>
          <w:rFonts w:ascii="Times New Roman" w:eastAsia="Times New Roman" w:hAnsi="Times New Roman" w:cs="Times New Roman"/>
          <w:shd w:val="clear" w:color="auto" w:fill="FFFFFF"/>
        </w:rPr>
        <w:t xml:space="preserve">eligibility for </w:t>
      </w:r>
      <w:r w:rsidR="0056408D" w:rsidRPr="00D24079">
        <w:rPr>
          <w:rFonts w:ascii="Times New Roman" w:eastAsia="Times New Roman" w:hAnsi="Times New Roman" w:cs="Times New Roman"/>
          <w:shd w:val="clear" w:color="auto" w:fill="FFFFFF"/>
        </w:rPr>
        <w:t xml:space="preserve">public </w:t>
      </w:r>
      <w:r w:rsidRPr="00D24079">
        <w:rPr>
          <w:rFonts w:ascii="Times New Roman" w:eastAsia="Times New Roman" w:hAnsi="Times New Roman" w:cs="Times New Roman"/>
          <w:shd w:val="clear" w:color="auto" w:fill="FFFFFF"/>
        </w:rPr>
        <w:t>benefits</w:t>
      </w:r>
      <w:r w:rsidR="00BF13F6" w:rsidRPr="00D24079">
        <w:rPr>
          <w:rFonts w:ascii="Times New Roman" w:eastAsia="Times New Roman" w:hAnsi="Times New Roman" w:cs="Times New Roman"/>
          <w:shd w:val="clear" w:color="auto" w:fill="FFFFFF"/>
        </w:rPr>
        <w:t xml:space="preserve">; and two waves of employer interviews (2019 and 2021). </w:t>
      </w:r>
    </w:p>
    <w:p w14:paraId="2E2CD425" w14:textId="08D36C0E" w:rsidR="00133955" w:rsidRPr="00D24079" w:rsidRDefault="00133955" w:rsidP="00D36D3E">
      <w:pPr>
        <w:rPr>
          <w:rFonts w:ascii="Times New Roman" w:eastAsia="Times New Roman" w:hAnsi="Times New Roman" w:cs="Times New Roman"/>
          <w:shd w:val="clear" w:color="auto" w:fill="FFFFFF"/>
        </w:rPr>
      </w:pPr>
    </w:p>
    <w:p w14:paraId="58B75251" w14:textId="74D8483D" w:rsidR="00D24079" w:rsidRPr="00D24079" w:rsidRDefault="00D24079" w:rsidP="00D80C34">
      <w:pPr>
        <w:rPr>
          <w:rFonts w:ascii="Times New Roman" w:eastAsia="Times New Roman" w:hAnsi="Times New Roman" w:cs="Times New Roman"/>
          <w:shd w:val="clear" w:color="auto" w:fill="FFFFFF"/>
        </w:rPr>
      </w:pPr>
      <w:r w:rsidRPr="00D24079">
        <w:rPr>
          <w:rFonts w:ascii="Times New Roman" w:eastAsia="Times New Roman" w:hAnsi="Times New Roman" w:cs="Times New Roman"/>
          <w:shd w:val="clear" w:color="auto" w:fill="FFFFFF"/>
        </w:rPr>
        <w:t>Tompkins County has the highest level of income inequality in upstate New York</w:t>
      </w:r>
      <w:r w:rsidRPr="00D24079">
        <w:rPr>
          <w:rStyle w:val="FootnoteReference"/>
          <w:rFonts w:ascii="Times New Roman" w:eastAsia="Times New Roman" w:hAnsi="Times New Roman" w:cs="Times New Roman"/>
          <w:shd w:val="clear" w:color="auto" w:fill="FFFFFF"/>
        </w:rPr>
        <w:footnoteReference w:id="3"/>
      </w:r>
      <w:r w:rsidRPr="00D24079">
        <w:rPr>
          <w:rFonts w:ascii="Times New Roman" w:eastAsia="Times New Roman" w:hAnsi="Times New Roman" w:cs="Times New Roman"/>
          <w:shd w:val="clear" w:color="auto" w:fill="FFFFFF"/>
        </w:rPr>
        <w:t xml:space="preserve">. </w:t>
      </w:r>
      <w:r w:rsidR="00133955" w:rsidRPr="00D24079">
        <w:rPr>
          <w:rFonts w:ascii="Times New Roman" w:eastAsia="Times New Roman" w:hAnsi="Times New Roman" w:cs="Times New Roman"/>
          <w:shd w:val="clear" w:color="auto" w:fill="FFFFFF"/>
        </w:rPr>
        <w:t>Our analysis of gives a clear indication of who would benefit from a substantial minimum wage increase.</w:t>
      </w:r>
    </w:p>
    <w:p w14:paraId="4E327839" w14:textId="5DFBEF6C" w:rsidR="00D24079" w:rsidRPr="00D24079" w:rsidRDefault="00D24079" w:rsidP="00D24079">
      <w:pPr>
        <w:pStyle w:val="ListParagraph"/>
        <w:numPr>
          <w:ilvl w:val="0"/>
          <w:numId w:val="1"/>
        </w:numPr>
        <w:rPr>
          <w:rFonts w:ascii="Times New Roman" w:hAnsi="Times New Roman" w:cs="Times New Roman"/>
        </w:rPr>
      </w:pPr>
      <w:r w:rsidRPr="00D24079">
        <w:rPr>
          <w:rFonts w:ascii="Times New Roman" w:hAnsi="Times New Roman" w:cs="Times New Roman"/>
        </w:rPr>
        <w:t>More than one-third of workers in Tompkins County earn effective hourly wages below the LW.</w:t>
      </w:r>
      <w:r w:rsidRPr="00D24079">
        <w:rPr>
          <w:rStyle w:val="FootnoteReference"/>
          <w:rFonts w:ascii="Times New Roman" w:hAnsi="Times New Roman" w:cs="Times New Roman"/>
        </w:rPr>
        <w:footnoteReference w:id="4"/>
      </w:r>
      <w:r w:rsidRPr="00D24079">
        <w:rPr>
          <w:rFonts w:ascii="Times New Roman" w:hAnsi="Times New Roman" w:cs="Times New Roman"/>
        </w:rPr>
        <w:t xml:space="preserve"> 35.2% effectively earned less than $15.32 per hour (in 2020 dollars) and 39.7% earned less than $16.61 per hour. </w:t>
      </w:r>
    </w:p>
    <w:p w14:paraId="47F2F1C9" w14:textId="2240E75B" w:rsidR="00D24079" w:rsidRPr="00D24079" w:rsidRDefault="00D24079" w:rsidP="00D24079">
      <w:pPr>
        <w:pStyle w:val="ListParagraph"/>
        <w:numPr>
          <w:ilvl w:val="0"/>
          <w:numId w:val="1"/>
        </w:numPr>
        <w:rPr>
          <w:rFonts w:ascii="Times New Roman" w:hAnsi="Times New Roman" w:cs="Times New Roman"/>
        </w:rPr>
      </w:pPr>
      <w:r w:rsidRPr="00D24079">
        <w:rPr>
          <w:rFonts w:ascii="Times New Roman" w:hAnsi="Times New Roman" w:cs="Times New Roman"/>
          <w:b/>
          <w:i/>
        </w:rPr>
        <w:lastRenderedPageBreak/>
        <w:t>The likelihood of earning below a LW in Tompkins County is strongly associated with a worker’s race-ethnicity</w:t>
      </w:r>
      <w:r w:rsidRPr="00D24079">
        <w:rPr>
          <w:rFonts w:ascii="Times New Roman" w:hAnsi="Times New Roman" w:cs="Times New Roman"/>
        </w:rPr>
        <w:t>. Depending on which LW threshold is used ($15.32 or $16.61), between 68% and 74% of Black workers fail to earn a LW in Tompkins County, compared to 32% and 36% of white workers. Workers who identify as Asian, Hispanic/Latinx, or with some other racial-ethnic group(s) earn below a LW at rates that are at least ten percentage points higher than white workers.</w:t>
      </w:r>
      <w:r w:rsidR="00BA17BD">
        <w:rPr>
          <w:rFonts w:ascii="Times New Roman" w:hAnsi="Times New Roman" w:cs="Times New Roman"/>
        </w:rPr>
        <w:t xml:space="preserve"> See the figure below. </w:t>
      </w:r>
      <w:r w:rsidRPr="00D24079">
        <w:rPr>
          <w:rFonts w:ascii="Times New Roman" w:hAnsi="Times New Roman" w:cs="Times New Roman"/>
        </w:rPr>
        <w:t xml:space="preserve"> </w:t>
      </w:r>
    </w:p>
    <w:p w14:paraId="5E8BB675" w14:textId="156ED5E3" w:rsidR="00D24079" w:rsidRPr="00D24079" w:rsidRDefault="00D24079" w:rsidP="00D24079">
      <w:pPr>
        <w:pStyle w:val="ListParagraph"/>
        <w:numPr>
          <w:ilvl w:val="0"/>
          <w:numId w:val="1"/>
        </w:numPr>
        <w:rPr>
          <w:rFonts w:ascii="Times New Roman" w:eastAsia="Times New Roman" w:hAnsi="Times New Roman" w:cs="Times New Roman"/>
          <w:shd w:val="clear" w:color="auto" w:fill="FFFFFF"/>
        </w:rPr>
      </w:pPr>
      <w:r w:rsidRPr="00D24079">
        <w:rPr>
          <w:rFonts w:ascii="Times New Roman" w:eastAsia="Times New Roman" w:hAnsi="Times New Roman" w:cs="Times New Roman"/>
          <w:shd w:val="clear" w:color="auto" w:fill="FFFFFF"/>
        </w:rPr>
        <w:t xml:space="preserve">Low-wage work is extremely common in the hospitality, food services, and retail sectors, where 67-71% of workers earned less than the LW. However, the county’s largest sectors, education services and healthcare also employ large numbers of low-wage workers. </w:t>
      </w:r>
    </w:p>
    <w:p w14:paraId="3B46E352" w14:textId="4B4BF567" w:rsidR="00D36D3E" w:rsidRPr="00D24079" w:rsidRDefault="0056408D" w:rsidP="00D36D3E">
      <w:pPr>
        <w:pStyle w:val="ListParagraph"/>
        <w:numPr>
          <w:ilvl w:val="0"/>
          <w:numId w:val="1"/>
        </w:numPr>
        <w:rPr>
          <w:rFonts w:ascii="Times New Roman" w:eastAsia="Times New Roman" w:hAnsi="Times New Roman" w:cs="Times New Roman"/>
          <w:shd w:val="clear" w:color="auto" w:fill="FFFFFF"/>
        </w:rPr>
      </w:pPr>
      <w:r w:rsidRPr="00D24079">
        <w:rPr>
          <w:rFonts w:ascii="Times New Roman" w:eastAsia="Times New Roman" w:hAnsi="Times New Roman" w:cs="Times New Roman"/>
          <w:b/>
          <w:i/>
          <w:shd w:val="clear" w:color="auto" w:fill="FFFFFF"/>
        </w:rPr>
        <w:t xml:space="preserve">Benefits cliffs are real </w:t>
      </w:r>
      <w:r w:rsidR="00133955" w:rsidRPr="00D24079">
        <w:rPr>
          <w:rFonts w:ascii="Times New Roman" w:eastAsia="Times New Roman" w:hAnsi="Times New Roman" w:cs="Times New Roman"/>
          <w:b/>
          <w:i/>
          <w:shd w:val="clear" w:color="auto" w:fill="FFFFFF"/>
        </w:rPr>
        <w:t>and</w:t>
      </w:r>
      <w:r w:rsidRPr="00D24079">
        <w:rPr>
          <w:rFonts w:ascii="Times New Roman" w:eastAsia="Times New Roman" w:hAnsi="Times New Roman" w:cs="Times New Roman"/>
          <w:b/>
          <w:i/>
          <w:shd w:val="clear" w:color="auto" w:fill="FFFFFF"/>
        </w:rPr>
        <w:t xml:space="preserve"> </w:t>
      </w:r>
      <w:r w:rsidR="00A930E7" w:rsidRPr="00D24079">
        <w:rPr>
          <w:rFonts w:ascii="Times New Roman" w:eastAsia="Times New Roman" w:hAnsi="Times New Roman" w:cs="Times New Roman"/>
          <w:b/>
          <w:i/>
          <w:shd w:val="clear" w:color="auto" w:fill="FFFFFF"/>
        </w:rPr>
        <w:t xml:space="preserve">would </w:t>
      </w:r>
      <w:r w:rsidRPr="00D24079">
        <w:rPr>
          <w:rFonts w:ascii="Times New Roman" w:eastAsia="Times New Roman" w:hAnsi="Times New Roman" w:cs="Times New Roman"/>
          <w:b/>
          <w:i/>
          <w:shd w:val="clear" w:color="auto" w:fill="FFFFFF"/>
        </w:rPr>
        <w:t xml:space="preserve">affect </w:t>
      </w:r>
      <w:r w:rsidR="00133955" w:rsidRPr="00D24079">
        <w:rPr>
          <w:rFonts w:ascii="Times New Roman" w:eastAsia="Times New Roman" w:hAnsi="Times New Roman" w:cs="Times New Roman"/>
          <w:b/>
          <w:i/>
          <w:shd w:val="clear" w:color="auto" w:fill="FFFFFF"/>
        </w:rPr>
        <w:t>about</w:t>
      </w:r>
      <w:r w:rsidRPr="00D24079">
        <w:rPr>
          <w:rFonts w:ascii="Times New Roman" w:eastAsia="Times New Roman" w:hAnsi="Times New Roman" w:cs="Times New Roman"/>
          <w:b/>
          <w:i/>
          <w:shd w:val="clear" w:color="auto" w:fill="FFFFFF"/>
        </w:rPr>
        <w:t xml:space="preserve"> </w:t>
      </w:r>
      <w:r w:rsidR="00D36D3E" w:rsidRPr="00D24079">
        <w:rPr>
          <w:rFonts w:ascii="Times New Roman" w:eastAsia="Times New Roman" w:hAnsi="Times New Roman" w:cs="Times New Roman"/>
          <w:b/>
          <w:i/>
          <w:shd w:val="clear" w:color="auto" w:fill="FFFFFF"/>
        </w:rPr>
        <w:t>2% of the low-wage workforce</w:t>
      </w:r>
      <w:r w:rsidRPr="00D24079">
        <w:rPr>
          <w:rFonts w:ascii="Times New Roman" w:eastAsia="Times New Roman" w:hAnsi="Times New Roman" w:cs="Times New Roman"/>
          <w:shd w:val="clear" w:color="auto" w:fill="FFFFFF"/>
        </w:rPr>
        <w:t xml:space="preserve">. These workers and their families </w:t>
      </w:r>
      <w:r w:rsidR="00A20D7F" w:rsidRPr="00D24079">
        <w:rPr>
          <w:rFonts w:ascii="Times New Roman" w:eastAsia="Times New Roman" w:hAnsi="Times New Roman" w:cs="Times New Roman"/>
          <w:shd w:val="clear" w:color="auto" w:fill="FFFFFF"/>
        </w:rPr>
        <w:t xml:space="preserve">risk </w:t>
      </w:r>
      <w:r w:rsidR="00133955" w:rsidRPr="00D24079">
        <w:rPr>
          <w:rFonts w:ascii="Times New Roman" w:eastAsia="Times New Roman" w:hAnsi="Times New Roman" w:cs="Times New Roman"/>
          <w:shd w:val="clear" w:color="auto" w:fill="FFFFFF"/>
        </w:rPr>
        <w:t>losing some of their</w:t>
      </w:r>
      <w:r w:rsidR="00A20D7F" w:rsidRPr="00D24079">
        <w:rPr>
          <w:rFonts w:ascii="Times New Roman" w:eastAsia="Times New Roman" w:hAnsi="Times New Roman" w:cs="Times New Roman"/>
          <w:shd w:val="clear" w:color="auto" w:fill="FFFFFF"/>
        </w:rPr>
        <w:t xml:space="preserve"> </w:t>
      </w:r>
      <w:r w:rsidRPr="00D24079">
        <w:rPr>
          <w:rFonts w:ascii="Times New Roman" w:eastAsia="Times New Roman" w:hAnsi="Times New Roman" w:cs="Times New Roman"/>
          <w:shd w:val="clear" w:color="auto" w:fill="FFFFFF"/>
        </w:rPr>
        <w:t xml:space="preserve">Medicaid, </w:t>
      </w:r>
      <w:r w:rsidR="00133955" w:rsidRPr="00D24079">
        <w:rPr>
          <w:rFonts w:ascii="Times New Roman" w:eastAsia="Times New Roman" w:hAnsi="Times New Roman" w:cs="Times New Roman"/>
          <w:shd w:val="clear" w:color="auto" w:fill="FFFFFF"/>
        </w:rPr>
        <w:t>SNAP, or other means-tested benefits if the minimum wage goes up. The numbers would be smaller if</w:t>
      </w:r>
      <w:r w:rsidR="00D36D3E" w:rsidRPr="00D24079">
        <w:rPr>
          <w:rFonts w:ascii="Times New Roman" w:eastAsia="Times New Roman" w:hAnsi="Times New Roman" w:cs="Times New Roman"/>
          <w:shd w:val="clear" w:color="auto" w:fill="FFFFFF"/>
        </w:rPr>
        <w:t xml:space="preserve"> </w:t>
      </w:r>
      <w:r w:rsidR="00133955" w:rsidRPr="00D24079">
        <w:rPr>
          <w:rFonts w:ascii="Times New Roman" w:eastAsia="Times New Roman" w:hAnsi="Times New Roman" w:cs="Times New Roman"/>
          <w:shd w:val="clear" w:color="auto" w:fill="FFFFFF"/>
        </w:rPr>
        <w:t>they reduced their working time</w:t>
      </w:r>
      <w:r w:rsidR="00D36D3E" w:rsidRPr="00D24079">
        <w:rPr>
          <w:rFonts w:ascii="Times New Roman" w:eastAsia="Times New Roman" w:hAnsi="Times New Roman" w:cs="Times New Roman"/>
          <w:shd w:val="clear" w:color="auto" w:fill="FFFFFF"/>
        </w:rPr>
        <w:t xml:space="preserve"> </w:t>
      </w:r>
      <w:r w:rsidR="00CD5B6E" w:rsidRPr="00D24079">
        <w:rPr>
          <w:rFonts w:ascii="Times New Roman" w:eastAsia="Times New Roman" w:hAnsi="Times New Roman" w:cs="Times New Roman"/>
          <w:shd w:val="clear" w:color="auto" w:fill="FFFFFF"/>
        </w:rPr>
        <w:t xml:space="preserve">or if </w:t>
      </w:r>
      <w:r w:rsidR="00133955" w:rsidRPr="00D24079">
        <w:rPr>
          <w:rFonts w:ascii="Times New Roman" w:eastAsia="Times New Roman" w:hAnsi="Times New Roman" w:cs="Times New Roman"/>
          <w:shd w:val="clear" w:color="auto" w:fill="FFFFFF"/>
        </w:rPr>
        <w:t xml:space="preserve">benefits were reformed to allow more earned income. </w:t>
      </w:r>
    </w:p>
    <w:p w14:paraId="52B5151B" w14:textId="07F791E4" w:rsidR="00EC48DF" w:rsidRPr="00D24079" w:rsidRDefault="00EC48DF" w:rsidP="000E688B">
      <w:pPr>
        <w:rPr>
          <w:rFonts w:ascii="Times New Roman" w:eastAsia="Times New Roman" w:hAnsi="Times New Roman" w:cs="Times New Roman"/>
          <w:b/>
          <w:bCs/>
          <w:shd w:val="clear" w:color="auto" w:fill="FFFFFF"/>
        </w:rPr>
      </w:pPr>
    </w:p>
    <w:p w14:paraId="6BC363A4" w14:textId="4B4D2943" w:rsidR="00D36D3E" w:rsidRPr="00D24079" w:rsidRDefault="00655198" w:rsidP="00D36D3E">
      <w:pPr>
        <w:rPr>
          <w:rFonts w:ascii="Times New Roman" w:eastAsia="Times New Roman" w:hAnsi="Times New Roman" w:cs="Times New Roman"/>
          <w:shd w:val="clear" w:color="auto" w:fill="FFFFFF"/>
        </w:rPr>
      </w:pPr>
      <w:r w:rsidRPr="00D24079">
        <w:rPr>
          <w:rFonts w:ascii="Times New Roman" w:eastAsia="Times New Roman" w:hAnsi="Times New Roman" w:cs="Times New Roman"/>
          <w:shd w:val="clear" w:color="auto" w:fill="FFFFFF"/>
        </w:rPr>
        <w:t xml:space="preserve">Employers would pay the cost of any minimum wage increase. </w:t>
      </w:r>
      <w:r w:rsidR="003B591D" w:rsidRPr="00D24079">
        <w:rPr>
          <w:rFonts w:ascii="Times New Roman" w:eastAsia="Times New Roman" w:hAnsi="Times New Roman" w:cs="Times New Roman"/>
          <w:shd w:val="clear" w:color="auto" w:fill="FFFFFF"/>
        </w:rPr>
        <w:t>To understand the impact on employers, we</w:t>
      </w:r>
      <w:r w:rsidRPr="00D24079">
        <w:rPr>
          <w:rFonts w:ascii="Times New Roman" w:eastAsia="Times New Roman" w:hAnsi="Times New Roman" w:cs="Times New Roman"/>
          <w:shd w:val="clear" w:color="auto" w:fill="FFFFFF"/>
        </w:rPr>
        <w:t xml:space="preserve"> </w:t>
      </w:r>
      <w:r w:rsidR="00EC48DF" w:rsidRPr="00D24079">
        <w:rPr>
          <w:rFonts w:ascii="Times New Roman" w:eastAsia="Times New Roman" w:hAnsi="Times New Roman" w:cs="Times New Roman"/>
          <w:shd w:val="clear" w:color="auto" w:fill="FFFFFF"/>
        </w:rPr>
        <w:t xml:space="preserve">developed a methodology and a structured questionnaire which was approved by the TCLWWG. </w:t>
      </w:r>
      <w:r w:rsidRPr="00D24079">
        <w:rPr>
          <w:rFonts w:ascii="Times New Roman" w:eastAsia="Times New Roman" w:hAnsi="Times New Roman" w:cs="Times New Roman"/>
          <w:shd w:val="clear" w:color="auto" w:fill="FFFFFF"/>
        </w:rPr>
        <w:t>In the first round of interviews with 40 employers (2019) we</w:t>
      </w:r>
      <w:r w:rsidR="00EC48DF" w:rsidRPr="00D24079">
        <w:rPr>
          <w:rFonts w:ascii="Times New Roman" w:eastAsia="Times New Roman" w:hAnsi="Times New Roman" w:cs="Times New Roman"/>
          <w:shd w:val="clear" w:color="auto" w:fill="FFFFFF"/>
        </w:rPr>
        <w:t xml:space="preserve"> asked questions about demographics, experiences with past minimum wage increases, cost of an increase to living wage calculation, different channels of adjustment, and overall opinion about the living wage proposal. In the second round (2021) we also</w:t>
      </w:r>
      <w:r w:rsidRPr="00D24079">
        <w:rPr>
          <w:rFonts w:ascii="Times New Roman" w:eastAsia="Times New Roman" w:hAnsi="Times New Roman" w:cs="Times New Roman"/>
          <w:shd w:val="clear" w:color="auto" w:fill="FFFFFF"/>
        </w:rPr>
        <w:t xml:space="preserve"> asked 32 of the same employers</w:t>
      </w:r>
      <w:r w:rsidR="00EC48DF" w:rsidRPr="00D24079">
        <w:rPr>
          <w:rFonts w:ascii="Times New Roman" w:eastAsia="Times New Roman" w:hAnsi="Times New Roman" w:cs="Times New Roman"/>
          <w:shd w:val="clear" w:color="auto" w:fill="FFFFFF"/>
        </w:rPr>
        <w:t xml:space="preserve"> about pandemic challenges, wage compression, wage setting policy, and adaptive capacity. The sample </w:t>
      </w:r>
      <w:r w:rsidRPr="00D24079">
        <w:rPr>
          <w:rFonts w:ascii="Times New Roman" w:eastAsia="Times New Roman" w:hAnsi="Times New Roman" w:cs="Times New Roman"/>
          <w:shd w:val="clear" w:color="auto" w:fill="FFFFFF"/>
        </w:rPr>
        <w:t>included the largest employers, the major sectors employing low-wage workers, and nonprofit health and social services agencies;</w:t>
      </w:r>
      <w:r w:rsidR="00EC48DF" w:rsidRPr="00D24079">
        <w:rPr>
          <w:rFonts w:ascii="Times New Roman" w:eastAsia="Times New Roman" w:hAnsi="Times New Roman" w:cs="Times New Roman"/>
          <w:shd w:val="clear" w:color="auto" w:fill="FFFFFF"/>
        </w:rPr>
        <w:t xml:space="preserve"> </w:t>
      </w:r>
      <w:r w:rsidRPr="00D24079">
        <w:rPr>
          <w:rFonts w:ascii="Times New Roman" w:eastAsia="Times New Roman" w:hAnsi="Times New Roman" w:cs="Times New Roman"/>
          <w:shd w:val="clear" w:color="auto" w:fill="FFFFFF"/>
        </w:rPr>
        <w:t>within each group we sought a mixture of LW and sub-LW employers.</w:t>
      </w:r>
    </w:p>
    <w:p w14:paraId="03707431" w14:textId="5D5E182A" w:rsidR="00E25AF5" w:rsidRPr="00D24079" w:rsidRDefault="00655198" w:rsidP="00E25AF5">
      <w:pPr>
        <w:pStyle w:val="ListParagraph"/>
        <w:numPr>
          <w:ilvl w:val="0"/>
          <w:numId w:val="2"/>
        </w:numPr>
        <w:rPr>
          <w:rFonts w:ascii="Times New Roman" w:eastAsia="Times New Roman" w:hAnsi="Times New Roman" w:cs="Times New Roman"/>
          <w:shd w:val="clear" w:color="auto" w:fill="FFFFFF"/>
        </w:rPr>
      </w:pPr>
      <w:r w:rsidRPr="00D24079">
        <w:rPr>
          <w:rFonts w:ascii="Times New Roman" w:eastAsia="Times New Roman" w:hAnsi="Times New Roman" w:cs="Times New Roman"/>
          <w:shd w:val="clear" w:color="auto" w:fill="FFFFFF"/>
        </w:rPr>
        <w:t xml:space="preserve">Employers had varying views of LW legislation, although a majority were in favor. </w:t>
      </w:r>
      <w:r w:rsidR="004E496E">
        <w:rPr>
          <w:rFonts w:ascii="Times New Roman" w:eastAsia="Times New Roman" w:hAnsi="Times New Roman" w:cs="Times New Roman"/>
          <w:shd w:val="clear" w:color="auto" w:fill="FFFFFF"/>
        </w:rPr>
        <w:t>Large organizations were more likely to oppose it than smaller ones</w:t>
      </w:r>
      <w:r w:rsidRPr="00D24079">
        <w:rPr>
          <w:rFonts w:ascii="Times New Roman" w:eastAsia="Times New Roman" w:hAnsi="Times New Roman" w:cs="Times New Roman"/>
          <w:shd w:val="clear" w:color="auto" w:fill="FFFFFF"/>
        </w:rPr>
        <w:t xml:space="preserve">, and some of the employers who opposed legislation in 2019 supported it in 2021. </w:t>
      </w:r>
    </w:p>
    <w:p w14:paraId="3060F933" w14:textId="23E70B35" w:rsidR="00D176F3" w:rsidRPr="00D24079" w:rsidRDefault="00A930E7" w:rsidP="00E25AF5">
      <w:pPr>
        <w:pStyle w:val="ListParagraph"/>
        <w:numPr>
          <w:ilvl w:val="0"/>
          <w:numId w:val="2"/>
        </w:numPr>
        <w:rPr>
          <w:rFonts w:ascii="Times New Roman" w:eastAsia="Times New Roman" w:hAnsi="Times New Roman" w:cs="Times New Roman"/>
          <w:shd w:val="clear" w:color="auto" w:fill="FFFFFF"/>
        </w:rPr>
      </w:pPr>
      <w:r w:rsidRPr="00D24079">
        <w:rPr>
          <w:rFonts w:ascii="Times New Roman" w:eastAsia="Times New Roman" w:hAnsi="Times New Roman" w:cs="Times New Roman"/>
          <w:shd w:val="clear" w:color="auto" w:fill="FFFFFF"/>
        </w:rPr>
        <w:t>Employers had varying</w:t>
      </w:r>
      <w:r w:rsidR="00655198" w:rsidRPr="00D24079">
        <w:rPr>
          <w:rFonts w:ascii="Times New Roman" w:eastAsia="Times New Roman" w:hAnsi="Times New Roman" w:cs="Times New Roman"/>
          <w:shd w:val="clear" w:color="auto" w:fill="FFFFFF"/>
        </w:rPr>
        <w:t xml:space="preserve"> </w:t>
      </w:r>
      <w:r w:rsidRPr="00D24079">
        <w:rPr>
          <w:rFonts w:ascii="Times New Roman" w:eastAsia="Times New Roman" w:hAnsi="Times New Roman" w:cs="Times New Roman"/>
          <w:shd w:val="clear" w:color="auto" w:fill="FFFFFF"/>
        </w:rPr>
        <w:t>assessments on the expense of paying a LW</w:t>
      </w:r>
      <w:r w:rsidR="00655198" w:rsidRPr="00D24079">
        <w:rPr>
          <w:rFonts w:ascii="Times New Roman" w:eastAsia="Times New Roman" w:hAnsi="Times New Roman" w:cs="Times New Roman"/>
          <w:shd w:val="clear" w:color="auto" w:fill="FFFFFF"/>
        </w:rPr>
        <w:t>.</w:t>
      </w:r>
      <w:r w:rsidR="007E4419" w:rsidRPr="00D24079">
        <w:rPr>
          <w:rFonts w:ascii="Times New Roman" w:eastAsia="Times New Roman" w:hAnsi="Times New Roman" w:cs="Times New Roman"/>
          <w:shd w:val="clear" w:color="auto" w:fill="FFFFFF"/>
        </w:rPr>
        <w:t xml:space="preserve"> </w:t>
      </w:r>
      <w:r w:rsidR="004E496E">
        <w:rPr>
          <w:rFonts w:ascii="Times New Roman" w:eastAsia="Times New Roman" w:hAnsi="Times New Roman" w:cs="Times New Roman"/>
          <w:shd w:val="clear" w:color="auto" w:fill="FFFFFF"/>
        </w:rPr>
        <w:t>For most employers it was</w:t>
      </w:r>
      <w:r w:rsidRPr="00D24079">
        <w:rPr>
          <w:rFonts w:ascii="Times New Roman" w:eastAsia="Times New Roman" w:hAnsi="Times New Roman" w:cs="Times New Roman"/>
          <w:shd w:val="clear" w:color="auto" w:fill="FFFFFF"/>
        </w:rPr>
        <w:t xml:space="preserve"> </w:t>
      </w:r>
      <w:r w:rsidR="007E4419" w:rsidRPr="00D24079">
        <w:rPr>
          <w:rFonts w:ascii="Times New Roman" w:eastAsia="Times New Roman" w:hAnsi="Times New Roman" w:cs="Times New Roman"/>
          <w:shd w:val="clear" w:color="auto" w:fill="FFFFFF"/>
        </w:rPr>
        <w:t>difficult to provide a clear calculation of the cost</w:t>
      </w:r>
      <w:r w:rsidR="0077135D" w:rsidRPr="00D24079">
        <w:rPr>
          <w:rFonts w:ascii="Times New Roman" w:eastAsia="Times New Roman" w:hAnsi="Times New Roman" w:cs="Times New Roman"/>
          <w:shd w:val="clear" w:color="auto" w:fill="FFFFFF"/>
        </w:rPr>
        <w:t>, and the three employers that did cost it out for us did so in different ways.</w:t>
      </w:r>
    </w:p>
    <w:p w14:paraId="6375CD92" w14:textId="0A99F136" w:rsidR="00D36D3E" w:rsidRPr="00D24079" w:rsidRDefault="007E4419" w:rsidP="00D36D3E">
      <w:pPr>
        <w:pStyle w:val="ListParagraph"/>
        <w:numPr>
          <w:ilvl w:val="1"/>
          <w:numId w:val="2"/>
        </w:numPr>
        <w:rPr>
          <w:rFonts w:ascii="Times New Roman" w:eastAsia="Times New Roman" w:hAnsi="Times New Roman" w:cs="Times New Roman"/>
          <w:shd w:val="clear" w:color="auto" w:fill="FFFFFF"/>
        </w:rPr>
      </w:pPr>
      <w:r w:rsidRPr="00D24079">
        <w:rPr>
          <w:rFonts w:ascii="Times New Roman" w:eastAsia="Times New Roman" w:hAnsi="Times New Roman" w:cs="Times New Roman"/>
          <w:shd w:val="clear" w:color="auto" w:fill="FFFFFF"/>
        </w:rPr>
        <w:t>For some it was merely a matter of increasing pay, benefits, and payroll taxes for workers</w:t>
      </w:r>
      <w:r w:rsidR="00A930E7" w:rsidRPr="00D24079">
        <w:rPr>
          <w:rFonts w:ascii="Times New Roman" w:eastAsia="Times New Roman" w:hAnsi="Times New Roman" w:cs="Times New Roman"/>
          <w:shd w:val="clear" w:color="auto" w:fill="FFFFFF"/>
        </w:rPr>
        <w:t xml:space="preserve"> below the LW threshold</w:t>
      </w:r>
      <w:r w:rsidRPr="00D24079">
        <w:rPr>
          <w:rFonts w:ascii="Times New Roman" w:eastAsia="Times New Roman" w:hAnsi="Times New Roman" w:cs="Times New Roman"/>
          <w:shd w:val="clear" w:color="auto" w:fill="FFFFFF"/>
        </w:rPr>
        <w:t>.</w:t>
      </w:r>
    </w:p>
    <w:p w14:paraId="353C866B" w14:textId="35192757" w:rsidR="00D176F3" w:rsidRPr="00D24079" w:rsidRDefault="007E4419" w:rsidP="00D36D3E">
      <w:pPr>
        <w:pStyle w:val="ListParagraph"/>
        <w:numPr>
          <w:ilvl w:val="1"/>
          <w:numId w:val="2"/>
        </w:numPr>
        <w:rPr>
          <w:rFonts w:ascii="Times New Roman" w:eastAsia="Times New Roman" w:hAnsi="Times New Roman" w:cs="Times New Roman"/>
          <w:shd w:val="clear" w:color="auto" w:fill="FFFFFF"/>
        </w:rPr>
      </w:pPr>
      <w:r w:rsidRPr="00D24079">
        <w:rPr>
          <w:rFonts w:ascii="Times New Roman" w:eastAsia="Times New Roman" w:hAnsi="Times New Roman" w:cs="Times New Roman"/>
          <w:shd w:val="clear" w:color="auto" w:fill="FFFFFF"/>
        </w:rPr>
        <w:t xml:space="preserve">For others it was also a matter of addressing “compression”, to maintain pay differences between entry-level and experienced workers. </w:t>
      </w:r>
    </w:p>
    <w:p w14:paraId="5FBAF5D0" w14:textId="7785D55A" w:rsidR="00D176F3" w:rsidRPr="00D24079" w:rsidRDefault="007E4419" w:rsidP="00D36D3E">
      <w:pPr>
        <w:pStyle w:val="ListParagraph"/>
        <w:numPr>
          <w:ilvl w:val="1"/>
          <w:numId w:val="2"/>
        </w:numPr>
        <w:rPr>
          <w:rFonts w:ascii="Times New Roman" w:eastAsia="Times New Roman" w:hAnsi="Times New Roman" w:cs="Times New Roman"/>
          <w:shd w:val="clear" w:color="auto" w:fill="FFFFFF"/>
        </w:rPr>
      </w:pPr>
      <w:r w:rsidRPr="00D24079">
        <w:rPr>
          <w:rFonts w:ascii="Times New Roman" w:eastAsia="Times New Roman" w:hAnsi="Times New Roman" w:cs="Times New Roman"/>
          <w:shd w:val="clear" w:color="auto" w:fill="FFFFFF"/>
        </w:rPr>
        <w:t xml:space="preserve">Some employers pointed out that the cost is uncertain, because it remains to be seen how </w:t>
      </w:r>
      <w:r w:rsidR="00A930E7" w:rsidRPr="00D24079">
        <w:rPr>
          <w:rFonts w:ascii="Times New Roman" w:eastAsia="Times New Roman" w:hAnsi="Times New Roman" w:cs="Times New Roman"/>
          <w:shd w:val="clear" w:color="auto" w:fill="FFFFFF"/>
        </w:rPr>
        <w:t xml:space="preserve">effectively </w:t>
      </w:r>
      <w:r w:rsidRPr="00D24079">
        <w:rPr>
          <w:rFonts w:ascii="Times New Roman" w:eastAsia="Times New Roman" w:hAnsi="Times New Roman" w:cs="Times New Roman"/>
          <w:shd w:val="clear" w:color="auto" w:fill="FFFFFF"/>
        </w:rPr>
        <w:t xml:space="preserve">they </w:t>
      </w:r>
      <w:r w:rsidR="00A930E7" w:rsidRPr="00D24079">
        <w:rPr>
          <w:rFonts w:ascii="Times New Roman" w:eastAsia="Times New Roman" w:hAnsi="Times New Roman" w:cs="Times New Roman"/>
          <w:shd w:val="clear" w:color="auto" w:fill="FFFFFF"/>
        </w:rPr>
        <w:t>c</w:t>
      </w:r>
      <w:r w:rsidRPr="00D24079">
        <w:rPr>
          <w:rFonts w:ascii="Times New Roman" w:eastAsia="Times New Roman" w:hAnsi="Times New Roman" w:cs="Times New Roman"/>
          <w:shd w:val="clear" w:color="auto" w:fill="FFFFFF"/>
        </w:rPr>
        <w:t xml:space="preserve">ould adapt, i.e. increase revenue or become more efficient. </w:t>
      </w:r>
    </w:p>
    <w:p w14:paraId="1AA337B1" w14:textId="27C3FACF" w:rsidR="00A41BD1" w:rsidRPr="00D24079" w:rsidRDefault="00A41BD1" w:rsidP="00D36D3E">
      <w:pPr>
        <w:rPr>
          <w:rFonts w:ascii="Times New Roman" w:eastAsia="Times New Roman" w:hAnsi="Times New Roman" w:cs="Times New Roman"/>
          <w:shd w:val="clear" w:color="auto" w:fill="FFFFFF"/>
        </w:rPr>
      </w:pPr>
      <w:r w:rsidRPr="00D24079">
        <w:rPr>
          <w:rFonts w:ascii="Times New Roman" w:eastAsia="Times New Roman" w:hAnsi="Times New Roman" w:cs="Times New Roman"/>
          <w:shd w:val="clear" w:color="auto" w:fill="FFFFFF"/>
        </w:rPr>
        <w:br/>
      </w:r>
      <w:r w:rsidR="007E4419" w:rsidRPr="00D24079">
        <w:rPr>
          <w:rFonts w:ascii="Times New Roman" w:eastAsia="Times New Roman" w:hAnsi="Times New Roman" w:cs="Times New Roman"/>
          <w:shd w:val="clear" w:color="auto" w:fill="FFFFFF"/>
        </w:rPr>
        <w:t xml:space="preserve">If the county legislature decides to act on the LW proposal, the employer interviews suggest some critical questions that will inevitably be discussed. </w:t>
      </w:r>
    </w:p>
    <w:p w14:paraId="7DEA52B0" w14:textId="69441B4D" w:rsidR="0077135D" w:rsidRPr="00D24079" w:rsidRDefault="0077135D" w:rsidP="0077135D">
      <w:pPr>
        <w:pStyle w:val="ListParagraph"/>
        <w:numPr>
          <w:ilvl w:val="0"/>
          <w:numId w:val="3"/>
        </w:numPr>
        <w:rPr>
          <w:rFonts w:ascii="Times New Roman" w:eastAsia="Times New Roman" w:hAnsi="Times New Roman" w:cs="Times New Roman"/>
          <w:shd w:val="clear" w:color="auto" w:fill="FFFFFF"/>
        </w:rPr>
      </w:pPr>
      <w:r w:rsidRPr="00D24079">
        <w:rPr>
          <w:rFonts w:ascii="Times New Roman" w:eastAsia="Times New Roman" w:hAnsi="Times New Roman" w:cs="Times New Roman"/>
          <w:shd w:val="clear" w:color="auto" w:fill="FFFFFF"/>
        </w:rPr>
        <w:t>Many employers believe that they cannot</w:t>
      </w:r>
      <w:r w:rsidR="004E496E">
        <w:rPr>
          <w:rFonts w:ascii="Times New Roman" w:eastAsia="Times New Roman" w:hAnsi="Times New Roman" w:cs="Times New Roman"/>
          <w:shd w:val="clear" w:color="auto" w:fill="FFFFFF"/>
        </w:rPr>
        <w:t xml:space="preserve"> afford to</w:t>
      </w:r>
      <w:r w:rsidRPr="00D24079">
        <w:rPr>
          <w:rFonts w:ascii="Times New Roman" w:eastAsia="Times New Roman" w:hAnsi="Times New Roman" w:cs="Times New Roman"/>
          <w:shd w:val="clear" w:color="auto" w:fill="FFFFFF"/>
        </w:rPr>
        <w:t xml:space="preserve"> pay a LW, but others see this issue differently. </w:t>
      </w:r>
      <w:r w:rsidRPr="00D24079">
        <w:rPr>
          <w:rFonts w:ascii="Times New Roman" w:eastAsia="Times New Roman" w:hAnsi="Times New Roman" w:cs="Times New Roman"/>
          <w:b/>
          <w:i/>
          <w:shd w:val="clear" w:color="auto" w:fill="FFFFFF"/>
        </w:rPr>
        <w:t xml:space="preserve">The more fundamental issue may be how </w:t>
      </w:r>
      <w:r w:rsidR="00BA17BD">
        <w:rPr>
          <w:rFonts w:ascii="Times New Roman" w:eastAsia="Times New Roman" w:hAnsi="Times New Roman" w:cs="Times New Roman"/>
          <w:b/>
          <w:i/>
          <w:shd w:val="clear" w:color="auto" w:fill="FFFFFF"/>
        </w:rPr>
        <w:t>to help organizations adapt</w:t>
      </w:r>
      <w:r w:rsidRPr="00D24079">
        <w:rPr>
          <w:rFonts w:ascii="Times New Roman" w:eastAsia="Times New Roman" w:hAnsi="Times New Roman" w:cs="Times New Roman"/>
          <w:shd w:val="clear" w:color="auto" w:fill="FFFFFF"/>
        </w:rPr>
        <w:t xml:space="preserve">. </w:t>
      </w:r>
      <w:r w:rsidR="00A930E7" w:rsidRPr="00D24079">
        <w:rPr>
          <w:rFonts w:ascii="Times New Roman" w:eastAsia="Times New Roman" w:hAnsi="Times New Roman" w:cs="Times New Roman"/>
          <w:shd w:val="clear" w:color="auto" w:fill="FFFFFF"/>
        </w:rPr>
        <w:t xml:space="preserve">A clear timeframe, financial support, and consulting expertise were all </w:t>
      </w:r>
      <w:r w:rsidR="003B591D" w:rsidRPr="00D24079">
        <w:rPr>
          <w:rFonts w:ascii="Times New Roman" w:eastAsia="Times New Roman" w:hAnsi="Times New Roman" w:cs="Times New Roman"/>
          <w:shd w:val="clear" w:color="auto" w:fill="FFFFFF"/>
        </w:rPr>
        <w:t xml:space="preserve">suggested as </w:t>
      </w:r>
      <w:r w:rsidR="00A930E7" w:rsidRPr="00D24079">
        <w:rPr>
          <w:rFonts w:ascii="Times New Roman" w:eastAsia="Times New Roman" w:hAnsi="Times New Roman" w:cs="Times New Roman"/>
          <w:shd w:val="clear" w:color="auto" w:fill="FFFFFF"/>
        </w:rPr>
        <w:t>possible ways policymakers could help.</w:t>
      </w:r>
    </w:p>
    <w:p w14:paraId="40EBC213" w14:textId="06B2C755" w:rsidR="00A41BD1" w:rsidRPr="00D24079" w:rsidRDefault="00D35B37" w:rsidP="00A41BD1">
      <w:pPr>
        <w:pStyle w:val="ListParagraph"/>
        <w:numPr>
          <w:ilvl w:val="0"/>
          <w:numId w:val="3"/>
        </w:numPr>
        <w:rPr>
          <w:rFonts w:ascii="Times New Roman" w:eastAsia="Times New Roman" w:hAnsi="Times New Roman" w:cs="Times New Roman"/>
          <w:shd w:val="clear" w:color="auto" w:fill="FFFFFF"/>
        </w:rPr>
      </w:pPr>
      <w:r w:rsidRPr="00D24079">
        <w:rPr>
          <w:rFonts w:ascii="Times New Roman" w:eastAsia="Times New Roman" w:hAnsi="Times New Roman" w:cs="Times New Roman"/>
          <w:b/>
          <w:i/>
          <w:shd w:val="clear" w:color="auto" w:fill="FFFFFF"/>
        </w:rPr>
        <w:t>How unfair is wage compression</w:t>
      </w:r>
      <w:r w:rsidR="00A41BD1" w:rsidRPr="00D24079">
        <w:rPr>
          <w:rFonts w:ascii="Times New Roman" w:eastAsia="Times New Roman" w:hAnsi="Times New Roman" w:cs="Times New Roman"/>
          <w:shd w:val="clear" w:color="auto" w:fill="FFFFFF"/>
        </w:rPr>
        <w:t xml:space="preserve">? </w:t>
      </w:r>
      <w:r w:rsidRPr="00D24079">
        <w:rPr>
          <w:rFonts w:ascii="Times New Roman" w:eastAsia="Times New Roman" w:hAnsi="Times New Roman" w:cs="Times New Roman"/>
          <w:shd w:val="clear" w:color="auto" w:fill="FFFFFF"/>
        </w:rPr>
        <w:t>The vast majority of employers</w:t>
      </w:r>
      <w:r w:rsidR="003B591D" w:rsidRPr="00D24079">
        <w:rPr>
          <w:rFonts w:ascii="Times New Roman" w:eastAsia="Times New Roman" w:hAnsi="Times New Roman" w:cs="Times New Roman"/>
          <w:shd w:val="clear" w:color="auto" w:fill="FFFFFF"/>
        </w:rPr>
        <w:t xml:space="preserve"> – even </w:t>
      </w:r>
      <w:r w:rsidR="00BA17BD">
        <w:rPr>
          <w:rFonts w:ascii="Times New Roman" w:eastAsia="Times New Roman" w:hAnsi="Times New Roman" w:cs="Times New Roman"/>
          <w:shd w:val="clear" w:color="auto" w:fill="FFFFFF"/>
        </w:rPr>
        <w:t>some</w:t>
      </w:r>
      <w:r w:rsidR="003B591D" w:rsidRPr="00D24079">
        <w:rPr>
          <w:rFonts w:ascii="Times New Roman" w:eastAsia="Times New Roman" w:hAnsi="Times New Roman" w:cs="Times New Roman"/>
          <w:shd w:val="clear" w:color="auto" w:fill="FFFFFF"/>
        </w:rPr>
        <w:t xml:space="preserve"> that supported the LW proposal –</w:t>
      </w:r>
      <w:r w:rsidRPr="00D24079">
        <w:rPr>
          <w:rFonts w:ascii="Times New Roman" w:eastAsia="Times New Roman" w:hAnsi="Times New Roman" w:cs="Times New Roman"/>
          <w:shd w:val="clear" w:color="auto" w:fill="FFFFFF"/>
        </w:rPr>
        <w:t xml:space="preserve"> were concerne</w:t>
      </w:r>
      <w:r w:rsidR="00A930E7" w:rsidRPr="00D24079">
        <w:rPr>
          <w:rFonts w:ascii="Times New Roman" w:eastAsia="Times New Roman" w:hAnsi="Times New Roman" w:cs="Times New Roman"/>
          <w:shd w:val="clear" w:color="auto" w:fill="FFFFFF"/>
        </w:rPr>
        <w:t>d that reducing pay differentials would be seen by experienced workers as unfair</w:t>
      </w:r>
      <w:r w:rsidRPr="00D24079">
        <w:rPr>
          <w:rFonts w:ascii="Times New Roman" w:eastAsia="Times New Roman" w:hAnsi="Times New Roman" w:cs="Times New Roman"/>
          <w:shd w:val="clear" w:color="auto" w:fill="FFFFFF"/>
        </w:rPr>
        <w:t xml:space="preserve">. </w:t>
      </w:r>
      <w:r w:rsidR="00A930E7" w:rsidRPr="00D24079">
        <w:rPr>
          <w:rFonts w:ascii="Times New Roman" w:eastAsia="Times New Roman" w:hAnsi="Times New Roman" w:cs="Times New Roman"/>
          <w:shd w:val="clear" w:color="auto" w:fill="FFFFFF"/>
        </w:rPr>
        <w:t xml:space="preserve">We know less about worker views, but we expect that minimum wage increases do create more compressed pay structures. </w:t>
      </w:r>
    </w:p>
    <w:p w14:paraId="3E80A9B7" w14:textId="66CEF757" w:rsidR="0031731D" w:rsidRDefault="00D35B37" w:rsidP="00A930E7">
      <w:pPr>
        <w:pStyle w:val="ListParagraph"/>
        <w:numPr>
          <w:ilvl w:val="0"/>
          <w:numId w:val="3"/>
        </w:numPr>
        <w:rPr>
          <w:rFonts w:ascii="Times New Roman" w:eastAsia="Times New Roman" w:hAnsi="Times New Roman" w:cs="Times New Roman"/>
          <w:shd w:val="clear" w:color="auto" w:fill="FFFFFF"/>
        </w:rPr>
      </w:pPr>
      <w:r w:rsidRPr="00D24079">
        <w:rPr>
          <w:rFonts w:ascii="Times New Roman" w:eastAsia="Times New Roman" w:hAnsi="Times New Roman" w:cs="Times New Roman"/>
          <w:shd w:val="clear" w:color="auto" w:fill="FFFFFF"/>
        </w:rPr>
        <w:lastRenderedPageBreak/>
        <w:t>Would certain workers be excluded from LW legislation?</w:t>
      </w:r>
      <w:r w:rsidR="00A41BD1" w:rsidRPr="00D24079">
        <w:rPr>
          <w:rFonts w:ascii="Times New Roman" w:eastAsia="Times New Roman" w:hAnsi="Times New Roman" w:cs="Times New Roman"/>
          <w:shd w:val="clear" w:color="auto" w:fill="FFFFFF"/>
        </w:rPr>
        <w:t xml:space="preserve"> </w:t>
      </w:r>
      <w:r w:rsidRPr="00D24079">
        <w:rPr>
          <w:rFonts w:ascii="Times New Roman" w:eastAsia="Times New Roman" w:hAnsi="Times New Roman" w:cs="Times New Roman"/>
          <w:shd w:val="clear" w:color="auto" w:fill="FFFFFF"/>
        </w:rPr>
        <w:t xml:space="preserve">Higher education institutions may push back against applying LW legislation to </w:t>
      </w:r>
      <w:r w:rsidRPr="00D24079">
        <w:rPr>
          <w:rFonts w:ascii="Times New Roman" w:eastAsia="Times New Roman" w:hAnsi="Times New Roman" w:cs="Times New Roman"/>
          <w:b/>
          <w:i/>
          <w:shd w:val="clear" w:color="auto" w:fill="FFFFFF"/>
        </w:rPr>
        <w:t>student workers</w:t>
      </w:r>
      <w:r w:rsidR="00A930E7" w:rsidRPr="00D24079">
        <w:rPr>
          <w:rFonts w:ascii="Times New Roman" w:eastAsia="Times New Roman" w:hAnsi="Times New Roman" w:cs="Times New Roman"/>
          <w:shd w:val="clear" w:color="auto" w:fill="FFFFFF"/>
        </w:rPr>
        <w:t>, because they see it in terms of student aid for middle-class families</w:t>
      </w:r>
      <w:r w:rsidRPr="00D24079">
        <w:rPr>
          <w:rFonts w:ascii="Times New Roman" w:eastAsia="Times New Roman" w:hAnsi="Times New Roman" w:cs="Times New Roman"/>
          <w:shd w:val="clear" w:color="auto" w:fill="FFFFFF"/>
        </w:rPr>
        <w:t xml:space="preserve">. Restaurants, bars, and cafes would oppose applying the living wage to </w:t>
      </w:r>
      <w:r w:rsidRPr="00D24079">
        <w:rPr>
          <w:rFonts w:ascii="Times New Roman" w:eastAsia="Times New Roman" w:hAnsi="Times New Roman" w:cs="Times New Roman"/>
          <w:b/>
          <w:i/>
          <w:shd w:val="clear" w:color="auto" w:fill="FFFFFF"/>
        </w:rPr>
        <w:t>tipped workers</w:t>
      </w:r>
      <w:r w:rsidRPr="00D24079">
        <w:rPr>
          <w:rFonts w:ascii="Times New Roman" w:eastAsia="Times New Roman" w:hAnsi="Times New Roman" w:cs="Times New Roman"/>
          <w:shd w:val="clear" w:color="auto" w:fill="FFFFFF"/>
        </w:rPr>
        <w:t>, because they see tips as an important</w:t>
      </w:r>
      <w:r w:rsidR="00A930E7" w:rsidRPr="00D24079">
        <w:rPr>
          <w:rFonts w:ascii="Times New Roman" w:eastAsia="Times New Roman" w:hAnsi="Times New Roman" w:cs="Times New Roman"/>
          <w:shd w:val="clear" w:color="auto" w:fill="FFFFFF"/>
        </w:rPr>
        <w:t xml:space="preserve"> work</w:t>
      </w:r>
      <w:r w:rsidRPr="00D24079">
        <w:rPr>
          <w:rFonts w:ascii="Times New Roman" w:eastAsia="Times New Roman" w:hAnsi="Times New Roman" w:cs="Times New Roman"/>
          <w:shd w:val="clear" w:color="auto" w:fill="FFFFFF"/>
        </w:rPr>
        <w:t xml:space="preserve"> incentive. There is also a widespread view among employers that the LW should not apply to </w:t>
      </w:r>
      <w:r w:rsidR="00BA17BD">
        <w:rPr>
          <w:rFonts w:ascii="Times New Roman" w:eastAsia="Times New Roman" w:hAnsi="Times New Roman" w:cs="Times New Roman"/>
          <w:b/>
          <w:i/>
          <w:shd w:val="clear" w:color="auto" w:fill="FFFFFF"/>
        </w:rPr>
        <w:t>new hires</w:t>
      </w:r>
      <w:r w:rsidRPr="00D24079">
        <w:rPr>
          <w:rFonts w:ascii="Times New Roman" w:eastAsia="Times New Roman" w:hAnsi="Times New Roman" w:cs="Times New Roman"/>
          <w:b/>
          <w:i/>
          <w:shd w:val="clear" w:color="auto" w:fill="FFFFFF"/>
        </w:rPr>
        <w:t xml:space="preserve"> </w:t>
      </w:r>
      <w:r w:rsidR="00A930E7" w:rsidRPr="00D24079">
        <w:rPr>
          <w:rFonts w:ascii="Times New Roman" w:eastAsia="Times New Roman" w:hAnsi="Times New Roman" w:cs="Times New Roman"/>
          <w:b/>
          <w:i/>
          <w:shd w:val="clear" w:color="auto" w:fill="FFFFFF"/>
        </w:rPr>
        <w:t>during</w:t>
      </w:r>
      <w:r w:rsidRPr="00D24079">
        <w:rPr>
          <w:rFonts w:ascii="Times New Roman" w:eastAsia="Times New Roman" w:hAnsi="Times New Roman" w:cs="Times New Roman"/>
          <w:b/>
          <w:i/>
          <w:shd w:val="clear" w:color="auto" w:fill="FFFFFF"/>
        </w:rPr>
        <w:t xml:space="preserve"> their probationary period</w:t>
      </w:r>
      <w:r w:rsidRPr="00D24079">
        <w:rPr>
          <w:rFonts w:ascii="Times New Roman" w:eastAsia="Times New Roman" w:hAnsi="Times New Roman" w:cs="Times New Roman"/>
          <w:shd w:val="clear" w:color="auto" w:fill="FFFFFF"/>
        </w:rPr>
        <w:t>.</w:t>
      </w:r>
      <w:r w:rsidR="00A930E7" w:rsidRPr="00D24079">
        <w:rPr>
          <w:rFonts w:ascii="Times New Roman" w:eastAsia="Times New Roman" w:hAnsi="Times New Roman" w:cs="Times New Roman"/>
          <w:shd w:val="clear" w:color="auto" w:fill="FFFFFF"/>
        </w:rPr>
        <w:t xml:space="preserve"> </w:t>
      </w:r>
    </w:p>
    <w:p w14:paraId="64BA47F6" w14:textId="2DB364D5" w:rsidR="00BA17BD" w:rsidRDefault="00BA17BD" w:rsidP="00BA17BD">
      <w:pPr>
        <w:rPr>
          <w:rFonts w:ascii="Times New Roman" w:eastAsia="Times New Roman" w:hAnsi="Times New Roman" w:cs="Times New Roman"/>
          <w:shd w:val="clear" w:color="auto" w:fill="FFFFFF"/>
        </w:rPr>
      </w:pPr>
    </w:p>
    <w:p w14:paraId="562FF999" w14:textId="09874198" w:rsidR="00BA17BD" w:rsidRPr="00BA17BD" w:rsidRDefault="00BA17BD" w:rsidP="00BA17BD">
      <w:pPr>
        <w:rPr>
          <w:rFonts w:ascii="Times New Roman" w:eastAsia="Times New Roman" w:hAnsi="Times New Roman" w:cs="Times New Roman"/>
          <w:shd w:val="clear" w:color="auto" w:fill="FFFFFF"/>
        </w:rPr>
      </w:pPr>
      <w:r>
        <w:rPr>
          <w:noProof/>
        </w:rPr>
        <w:drawing>
          <wp:inline distT="0" distB="0" distL="0" distR="0" wp14:anchorId="24EC23FC" wp14:editId="05022A3C">
            <wp:extent cx="5127924" cy="5109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7498" cy="5119385"/>
                    </a:xfrm>
                    <a:prstGeom prst="rect">
                      <a:avLst/>
                    </a:prstGeom>
                    <a:noFill/>
                    <a:ln>
                      <a:noFill/>
                    </a:ln>
                  </pic:spPr>
                </pic:pic>
              </a:graphicData>
            </a:graphic>
          </wp:inline>
        </w:drawing>
      </w:r>
    </w:p>
    <w:sectPr w:rsidR="00BA17BD" w:rsidRPr="00BA17BD" w:rsidSect="00F6458F">
      <w:foot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70017" w14:textId="77777777" w:rsidR="00AF1A83" w:rsidRDefault="00AF1A83" w:rsidP="00215C46">
      <w:r>
        <w:separator/>
      </w:r>
    </w:p>
  </w:endnote>
  <w:endnote w:type="continuationSeparator" w:id="0">
    <w:p w14:paraId="3D745CD6" w14:textId="77777777" w:rsidR="00AF1A83" w:rsidRDefault="00AF1A83" w:rsidP="0021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945171"/>
      <w:docPartObj>
        <w:docPartGallery w:val="Page Numbers (Bottom of Page)"/>
        <w:docPartUnique/>
      </w:docPartObj>
    </w:sdtPr>
    <w:sdtEndPr>
      <w:rPr>
        <w:noProof/>
      </w:rPr>
    </w:sdtEndPr>
    <w:sdtContent>
      <w:p w14:paraId="25C07583" w14:textId="4B52F488" w:rsidR="0077135D" w:rsidRDefault="007713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21E083" w14:textId="483B4B31" w:rsidR="0077135D" w:rsidRDefault="00771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47F2" w14:textId="77777777" w:rsidR="00AF1A83" w:rsidRDefault="00AF1A83" w:rsidP="00215C46">
      <w:r>
        <w:separator/>
      </w:r>
    </w:p>
  </w:footnote>
  <w:footnote w:type="continuationSeparator" w:id="0">
    <w:p w14:paraId="7DB079D4" w14:textId="77777777" w:rsidR="00AF1A83" w:rsidRDefault="00AF1A83" w:rsidP="00215C46">
      <w:r>
        <w:continuationSeparator/>
      </w:r>
    </w:p>
  </w:footnote>
  <w:footnote w:id="1">
    <w:p w14:paraId="42AB6021" w14:textId="0709EFBC" w:rsidR="003C6AF3" w:rsidRDefault="003C6AF3">
      <w:pPr>
        <w:pStyle w:val="FootnoteText"/>
      </w:pPr>
      <w:r>
        <w:rPr>
          <w:rStyle w:val="FootnoteReference"/>
        </w:rPr>
        <w:footnoteRef/>
      </w:r>
      <w:r>
        <w:t xml:space="preserve"> </w:t>
      </w:r>
      <w:r w:rsidRPr="003C6AF3">
        <w:t>https://www.ny.gov/new-york-states-minimum-wage/new-york-states-minimum-wage</w:t>
      </w:r>
    </w:p>
  </w:footnote>
  <w:footnote w:id="2">
    <w:p w14:paraId="4AFBDBEA" w14:textId="50389A50" w:rsidR="003C6AF3" w:rsidRDefault="003C6AF3">
      <w:pPr>
        <w:pStyle w:val="FootnoteText"/>
      </w:pPr>
      <w:r>
        <w:rPr>
          <w:rStyle w:val="FootnoteReference"/>
        </w:rPr>
        <w:footnoteRef/>
      </w:r>
      <w:r>
        <w:t xml:space="preserve"> </w:t>
      </w:r>
      <w:r w:rsidRPr="003C6AF3">
        <w:t>https://www.alternatives.org/about/impacting-our-community/living-wage-study.html</w:t>
      </w:r>
    </w:p>
  </w:footnote>
  <w:footnote w:id="3">
    <w:p w14:paraId="52B019EB" w14:textId="77777777" w:rsidR="00D24079" w:rsidRPr="00A930E7" w:rsidRDefault="00D24079" w:rsidP="00D24079">
      <w:pPr>
        <w:rPr>
          <w:sz w:val="20"/>
          <w:szCs w:val="20"/>
        </w:rPr>
      </w:pPr>
      <w:r w:rsidRPr="00A930E7">
        <w:rPr>
          <w:rStyle w:val="FootnoteReference"/>
          <w:sz w:val="20"/>
          <w:szCs w:val="20"/>
        </w:rPr>
        <w:footnoteRef/>
      </w:r>
      <w:r w:rsidRPr="00A930E7">
        <w:rPr>
          <w:sz w:val="20"/>
          <w:szCs w:val="20"/>
        </w:rPr>
        <w:t xml:space="preserve"> Abel, Jaison R., and Richard Deitz. "Why are some places so much more unequal than others." </w:t>
      </w:r>
      <w:r w:rsidRPr="00A930E7">
        <w:rPr>
          <w:i/>
          <w:iCs/>
          <w:sz w:val="20"/>
          <w:szCs w:val="20"/>
        </w:rPr>
        <w:t>Federal Reserve Bank of New York Economic Policy Review</w:t>
      </w:r>
      <w:r w:rsidRPr="00A930E7">
        <w:rPr>
          <w:sz w:val="20"/>
          <w:szCs w:val="20"/>
        </w:rPr>
        <w:t xml:space="preserve"> 25.1 (2019): 58-75.</w:t>
      </w:r>
    </w:p>
  </w:footnote>
  <w:footnote w:id="4">
    <w:p w14:paraId="5E96099D" w14:textId="77777777" w:rsidR="00D24079" w:rsidRDefault="00D24079" w:rsidP="00D24079">
      <w:pPr>
        <w:pStyle w:val="FootnoteText"/>
      </w:pPr>
      <w:r>
        <w:rPr>
          <w:rStyle w:val="FootnoteReference"/>
        </w:rPr>
        <w:footnoteRef/>
      </w:r>
      <w:r>
        <w:t xml:space="preserve"> In 2021, the living wage (LW) for a single worker in Tompkins County was estimated to be $15.32 per hour. That number increased to $16.61 per hour in July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2B3"/>
    <w:multiLevelType w:val="hybridMultilevel"/>
    <w:tmpl w:val="99804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623FB"/>
    <w:multiLevelType w:val="hybridMultilevel"/>
    <w:tmpl w:val="13564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F01E8"/>
    <w:multiLevelType w:val="hybridMultilevel"/>
    <w:tmpl w:val="8DCC4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8033947">
    <w:abstractNumId w:val="2"/>
  </w:num>
  <w:num w:numId="2" w16cid:durableId="1267811051">
    <w:abstractNumId w:val="1"/>
  </w:num>
  <w:num w:numId="3" w16cid:durableId="1462454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3E"/>
    <w:rsid w:val="000836E5"/>
    <w:rsid w:val="000C09FF"/>
    <w:rsid w:val="000E688B"/>
    <w:rsid w:val="00133955"/>
    <w:rsid w:val="00191737"/>
    <w:rsid w:val="001C6A82"/>
    <w:rsid w:val="00215C46"/>
    <w:rsid w:val="0031731D"/>
    <w:rsid w:val="003B591D"/>
    <w:rsid w:val="003C6AF3"/>
    <w:rsid w:val="003D15CB"/>
    <w:rsid w:val="003F62E4"/>
    <w:rsid w:val="004E496E"/>
    <w:rsid w:val="004F31B3"/>
    <w:rsid w:val="00552A2A"/>
    <w:rsid w:val="00563A8C"/>
    <w:rsid w:val="0056408D"/>
    <w:rsid w:val="005A7F0D"/>
    <w:rsid w:val="005D28BF"/>
    <w:rsid w:val="005F59E2"/>
    <w:rsid w:val="00604ADE"/>
    <w:rsid w:val="00655198"/>
    <w:rsid w:val="0066494C"/>
    <w:rsid w:val="006D0485"/>
    <w:rsid w:val="00717CFC"/>
    <w:rsid w:val="00725882"/>
    <w:rsid w:val="007441A7"/>
    <w:rsid w:val="0077135D"/>
    <w:rsid w:val="00782D32"/>
    <w:rsid w:val="00793F2F"/>
    <w:rsid w:val="007E4419"/>
    <w:rsid w:val="008D55CF"/>
    <w:rsid w:val="00902988"/>
    <w:rsid w:val="00941DE4"/>
    <w:rsid w:val="009678E6"/>
    <w:rsid w:val="009A08B5"/>
    <w:rsid w:val="009E1B04"/>
    <w:rsid w:val="00A20D7F"/>
    <w:rsid w:val="00A35F2A"/>
    <w:rsid w:val="00A41BD1"/>
    <w:rsid w:val="00A52D08"/>
    <w:rsid w:val="00A65CE3"/>
    <w:rsid w:val="00A83AC1"/>
    <w:rsid w:val="00A930E7"/>
    <w:rsid w:val="00AC3928"/>
    <w:rsid w:val="00AD5369"/>
    <w:rsid w:val="00AF1A83"/>
    <w:rsid w:val="00B43E2F"/>
    <w:rsid w:val="00B46DE1"/>
    <w:rsid w:val="00B51BFF"/>
    <w:rsid w:val="00BA17BD"/>
    <w:rsid w:val="00BA1CA8"/>
    <w:rsid w:val="00BB2B1E"/>
    <w:rsid w:val="00BF13F6"/>
    <w:rsid w:val="00C27233"/>
    <w:rsid w:val="00C9336A"/>
    <w:rsid w:val="00CD5B6E"/>
    <w:rsid w:val="00D02F8B"/>
    <w:rsid w:val="00D176F3"/>
    <w:rsid w:val="00D24079"/>
    <w:rsid w:val="00D2453E"/>
    <w:rsid w:val="00D35B37"/>
    <w:rsid w:val="00D36D3E"/>
    <w:rsid w:val="00D80C34"/>
    <w:rsid w:val="00DE008D"/>
    <w:rsid w:val="00E07550"/>
    <w:rsid w:val="00E25AF5"/>
    <w:rsid w:val="00E3563F"/>
    <w:rsid w:val="00E82CD8"/>
    <w:rsid w:val="00EB07AE"/>
    <w:rsid w:val="00EC48DF"/>
    <w:rsid w:val="00F243D6"/>
    <w:rsid w:val="00F61748"/>
    <w:rsid w:val="00F6458F"/>
    <w:rsid w:val="00FA53D6"/>
    <w:rsid w:val="00FD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354A"/>
  <w15:chartTrackingRefBased/>
  <w15:docId w15:val="{29FC8D85-6CA2-5D47-950C-85442DA2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5C46"/>
    <w:rPr>
      <w:sz w:val="20"/>
      <w:szCs w:val="20"/>
    </w:rPr>
  </w:style>
  <w:style w:type="character" w:customStyle="1" w:styleId="FootnoteTextChar">
    <w:name w:val="Footnote Text Char"/>
    <w:basedOn w:val="DefaultParagraphFont"/>
    <w:link w:val="FootnoteText"/>
    <w:uiPriority w:val="99"/>
    <w:semiHidden/>
    <w:rsid w:val="00215C46"/>
    <w:rPr>
      <w:sz w:val="20"/>
      <w:szCs w:val="20"/>
    </w:rPr>
  </w:style>
  <w:style w:type="character" w:styleId="FootnoteReference">
    <w:name w:val="footnote reference"/>
    <w:basedOn w:val="DefaultParagraphFont"/>
    <w:uiPriority w:val="99"/>
    <w:semiHidden/>
    <w:unhideWhenUsed/>
    <w:rsid w:val="00215C46"/>
    <w:rPr>
      <w:vertAlign w:val="superscript"/>
    </w:rPr>
  </w:style>
  <w:style w:type="paragraph" w:styleId="ListParagraph">
    <w:name w:val="List Paragraph"/>
    <w:basedOn w:val="Normal"/>
    <w:uiPriority w:val="34"/>
    <w:qFormat/>
    <w:rsid w:val="003C6AF3"/>
    <w:pPr>
      <w:ind w:left="720"/>
      <w:contextualSpacing/>
    </w:pPr>
  </w:style>
  <w:style w:type="paragraph" w:styleId="Header">
    <w:name w:val="header"/>
    <w:basedOn w:val="Normal"/>
    <w:link w:val="HeaderChar"/>
    <w:uiPriority w:val="99"/>
    <w:unhideWhenUsed/>
    <w:rsid w:val="0077135D"/>
    <w:pPr>
      <w:tabs>
        <w:tab w:val="center" w:pos="4680"/>
        <w:tab w:val="right" w:pos="9360"/>
      </w:tabs>
    </w:pPr>
  </w:style>
  <w:style w:type="character" w:customStyle="1" w:styleId="HeaderChar">
    <w:name w:val="Header Char"/>
    <w:basedOn w:val="DefaultParagraphFont"/>
    <w:link w:val="Header"/>
    <w:uiPriority w:val="99"/>
    <w:rsid w:val="0077135D"/>
  </w:style>
  <w:style w:type="paragraph" w:styleId="Footer">
    <w:name w:val="footer"/>
    <w:basedOn w:val="Normal"/>
    <w:link w:val="FooterChar"/>
    <w:uiPriority w:val="99"/>
    <w:unhideWhenUsed/>
    <w:rsid w:val="0077135D"/>
    <w:pPr>
      <w:tabs>
        <w:tab w:val="center" w:pos="4680"/>
        <w:tab w:val="right" w:pos="9360"/>
      </w:tabs>
    </w:pPr>
  </w:style>
  <w:style w:type="character" w:customStyle="1" w:styleId="FooterChar">
    <w:name w:val="Footer Char"/>
    <w:basedOn w:val="DefaultParagraphFont"/>
    <w:link w:val="Footer"/>
    <w:uiPriority w:val="99"/>
    <w:rsid w:val="0077135D"/>
  </w:style>
  <w:style w:type="character" w:styleId="Hyperlink">
    <w:name w:val="Hyperlink"/>
    <w:basedOn w:val="DefaultParagraphFont"/>
    <w:uiPriority w:val="99"/>
    <w:unhideWhenUsed/>
    <w:rsid w:val="00D240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51447">
      <w:bodyDiv w:val="1"/>
      <w:marLeft w:val="0"/>
      <w:marRight w:val="0"/>
      <w:marTop w:val="0"/>
      <w:marBottom w:val="0"/>
      <w:divBdr>
        <w:top w:val="none" w:sz="0" w:space="0" w:color="auto"/>
        <w:left w:val="none" w:sz="0" w:space="0" w:color="auto"/>
        <w:bottom w:val="none" w:sz="0" w:space="0" w:color="auto"/>
        <w:right w:val="none" w:sz="0" w:space="0" w:color="auto"/>
      </w:divBdr>
    </w:div>
    <w:div w:id="1229682606">
      <w:bodyDiv w:val="1"/>
      <w:marLeft w:val="0"/>
      <w:marRight w:val="0"/>
      <w:marTop w:val="0"/>
      <w:marBottom w:val="0"/>
      <w:divBdr>
        <w:top w:val="none" w:sz="0" w:space="0" w:color="auto"/>
        <w:left w:val="none" w:sz="0" w:space="0" w:color="auto"/>
        <w:bottom w:val="none" w:sz="0" w:space="0" w:color="auto"/>
        <w:right w:val="none" w:sz="0" w:space="0" w:color="auto"/>
      </w:divBdr>
      <w:divsChild>
        <w:div w:id="1105229023">
          <w:marLeft w:val="0"/>
          <w:marRight w:val="0"/>
          <w:marTop w:val="0"/>
          <w:marBottom w:val="0"/>
          <w:divBdr>
            <w:top w:val="none" w:sz="0" w:space="0" w:color="auto"/>
            <w:left w:val="none" w:sz="0" w:space="0" w:color="auto"/>
            <w:bottom w:val="none" w:sz="0" w:space="0" w:color="auto"/>
            <w:right w:val="none" w:sz="0" w:space="0" w:color="auto"/>
          </w:divBdr>
        </w:div>
      </w:divsChild>
    </w:div>
    <w:div w:id="1524978583">
      <w:bodyDiv w:val="1"/>
      <w:marLeft w:val="0"/>
      <w:marRight w:val="0"/>
      <w:marTop w:val="0"/>
      <w:marBottom w:val="0"/>
      <w:divBdr>
        <w:top w:val="none" w:sz="0" w:space="0" w:color="auto"/>
        <w:left w:val="none" w:sz="0" w:space="0" w:color="auto"/>
        <w:bottom w:val="none" w:sz="0" w:space="0" w:color="auto"/>
        <w:right w:val="none" w:sz="0" w:space="0" w:color="auto"/>
      </w:divBdr>
    </w:div>
    <w:div w:id="1773083785">
      <w:bodyDiv w:val="1"/>
      <w:marLeft w:val="0"/>
      <w:marRight w:val="0"/>
      <w:marTop w:val="0"/>
      <w:marBottom w:val="0"/>
      <w:divBdr>
        <w:top w:val="none" w:sz="0" w:space="0" w:color="auto"/>
        <w:left w:val="none" w:sz="0" w:space="0" w:color="auto"/>
        <w:bottom w:val="none" w:sz="0" w:space="0" w:color="auto"/>
        <w:right w:val="none" w:sz="0" w:space="0" w:color="auto"/>
      </w:divBdr>
      <w:divsChild>
        <w:div w:id="1869489027">
          <w:marLeft w:val="0"/>
          <w:marRight w:val="0"/>
          <w:marTop w:val="0"/>
          <w:marBottom w:val="0"/>
          <w:divBdr>
            <w:top w:val="none" w:sz="0" w:space="0" w:color="auto"/>
            <w:left w:val="none" w:sz="0" w:space="0" w:color="auto"/>
            <w:bottom w:val="none" w:sz="0" w:space="0" w:color="auto"/>
            <w:right w:val="none" w:sz="0" w:space="0" w:color="auto"/>
          </w:divBdr>
        </w:div>
      </w:divsChild>
    </w:div>
    <w:div w:id="208772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156BC-A331-42C6-B36C-570D0CF0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Shaianne Osterreich</dc:creator>
  <cp:keywords/>
  <dc:description/>
  <cp:lastModifiedBy>Pete Meyers</cp:lastModifiedBy>
  <cp:revision>3</cp:revision>
  <dcterms:created xsi:type="dcterms:W3CDTF">2022-08-19T19:33:00Z</dcterms:created>
  <dcterms:modified xsi:type="dcterms:W3CDTF">2022-08-22T18:04:00Z</dcterms:modified>
</cp:coreProperties>
</file>